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382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01.03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382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01.03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821CA">
      <w:r w:rsidRPr="003821CA">
        <w:drawing>
          <wp:inline distT="0" distB="0" distL="0" distR="0">
            <wp:extent cx="7181850" cy="2752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382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01.03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821CA">
      <w:r w:rsidRPr="003821CA">
        <w:drawing>
          <wp:inline distT="0" distB="0" distL="0" distR="0">
            <wp:extent cx="7181850" cy="4429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3.2017\&#1044;&#1086;&#1093;&#1086;&#1076;&#1099;%20&#1085;&#1072;%2001.02.2017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3.2017\&#1044;&#1086;&#1093;&#1086;&#1076;&#1099;%20&#1085;&#1072;%2001.02.2017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32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Февраль!$C$21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Февраль!$D$21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Февраль!$E$21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Февраль!$F$21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</c:numCache>
            </c:numRef>
          </c:val>
        </c:ser>
        <c:marker val="1"/>
        <c:axId val="84904960"/>
        <c:axId val="84964096"/>
      </c:lineChart>
      <c:catAx>
        <c:axId val="84904960"/>
        <c:scaling>
          <c:orientation val="minMax"/>
        </c:scaling>
        <c:axPos val="b"/>
        <c:tickLblPos val="nextTo"/>
        <c:crossAx val="84964096"/>
        <c:crosses val="autoZero"/>
        <c:auto val="1"/>
        <c:lblAlgn val="ctr"/>
        <c:lblOffset val="100"/>
      </c:catAx>
      <c:valAx>
        <c:axId val="84964096"/>
        <c:scaling>
          <c:orientation val="minMax"/>
        </c:scaling>
        <c:axPos val="l"/>
        <c:majorGridlines/>
        <c:numFmt formatCode="#,##0.00" sourceLinked="1"/>
        <c:tickLblPos val="nextTo"/>
        <c:crossAx val="84904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Февраль!$B$57:$D$57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1395662.74</c:v>
                </c:pt>
                <c:pt idx="2">
                  <c:v>188944.94</c:v>
                </c:pt>
              </c:numCache>
            </c:numRef>
          </c:val>
        </c:ser>
        <c:ser>
          <c:idx val="15"/>
          <c:order val="1"/>
          <c:tx>
            <c:strRef>
              <c:f>Февраль!$B$56:$D$56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47.25</c:v>
                </c:pt>
              </c:numCache>
            </c:numRef>
          </c:val>
        </c:ser>
        <c:ser>
          <c:idx val="14"/>
          <c:order val="2"/>
          <c:tx>
            <c:strRef>
              <c:f>Февраль!$B$55:$D$55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7814.85</c:v>
                </c:pt>
                <c:pt idx="2">
                  <c:v>1321.28</c:v>
                </c:pt>
              </c:numCache>
            </c:numRef>
          </c:val>
        </c:ser>
        <c:ser>
          <c:idx val="13"/>
          <c:order val="3"/>
          <c:tx>
            <c:strRef>
              <c:f>Февраль!$B$54:$D$54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245.21</c:v>
                </c:pt>
              </c:numCache>
            </c:numRef>
          </c:val>
        </c:ser>
        <c:ser>
          <c:idx val="12"/>
          <c:order val="4"/>
          <c:tx>
            <c:strRef>
              <c:f>Февраль!$B$53:$D$53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9443.92</c:v>
                </c:pt>
                <c:pt idx="2">
                  <c:v>103.86</c:v>
                </c:pt>
              </c:numCache>
            </c:numRef>
          </c:val>
        </c:ser>
        <c:ser>
          <c:idx val="11"/>
          <c:order val="5"/>
          <c:tx>
            <c:strRef>
              <c:f>Февраль!$B$52:$D$52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40.28</c:v>
                </c:pt>
              </c:numCache>
            </c:numRef>
          </c:val>
        </c:ser>
        <c:ser>
          <c:idx val="10"/>
          <c:order val="6"/>
          <c:tx>
            <c:strRef>
              <c:f>Февраль!$B$51:$D$51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54381.3</c:v>
                </c:pt>
                <c:pt idx="2">
                  <c:v>3757.72</c:v>
                </c:pt>
              </c:numCache>
            </c:numRef>
          </c:val>
        </c:ser>
        <c:ser>
          <c:idx val="9"/>
          <c:order val="7"/>
          <c:tx>
            <c:strRef>
              <c:f>Февраль!$B$50:$D$50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1991.77</c:v>
                </c:pt>
              </c:numCache>
            </c:numRef>
          </c:val>
        </c:ser>
        <c:ser>
          <c:idx val="8"/>
          <c:order val="8"/>
          <c:tx>
            <c:strRef>
              <c:f>Февраль!$B$49:$D$49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1832.64</c:v>
                </c:pt>
              </c:numCache>
            </c:numRef>
          </c:val>
        </c:ser>
        <c:ser>
          <c:idx val="7"/>
          <c:order val="9"/>
          <c:tx>
            <c:strRef>
              <c:f>Февраль!$B$48:$D$48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732.35</c:v>
                </c:pt>
              </c:numCache>
            </c:numRef>
          </c:val>
        </c:ser>
        <c:ser>
          <c:idx val="6"/>
          <c:order val="10"/>
          <c:tx>
            <c:strRef>
              <c:f>Февраль!$B$47:$D$47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57.01</c:v>
                </c:pt>
              </c:numCache>
            </c:numRef>
          </c:val>
        </c:ser>
        <c:ser>
          <c:idx val="5"/>
          <c:order val="11"/>
          <c:tx>
            <c:strRef>
              <c:f>Февраль!$B$46:$D$46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310.55</c:v>
                </c:pt>
              </c:numCache>
            </c:numRef>
          </c:val>
        </c:ser>
        <c:ser>
          <c:idx val="1"/>
          <c:order val="12"/>
          <c:tx>
            <c:strRef>
              <c:f>Февраль!$B$45:$D$45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8053.46</c:v>
                </c:pt>
              </c:numCache>
            </c:numRef>
          </c:val>
        </c:ser>
        <c:ser>
          <c:idx val="0"/>
          <c:order val="13"/>
          <c:tx>
            <c:strRef>
              <c:f>Февраль!$B$44:$D$44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1589.78</c:v>
                </c:pt>
              </c:numCache>
            </c:numRef>
          </c:val>
        </c:ser>
        <c:ser>
          <c:idx val="4"/>
          <c:order val="14"/>
          <c:tx>
            <c:strRef>
              <c:f>Февраль!$B$43:$D$43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207980.7</c:v>
                </c:pt>
                <c:pt idx="2">
                  <c:v>23812.720000000001</c:v>
                </c:pt>
              </c:numCache>
            </c:numRef>
          </c:val>
        </c:ser>
        <c:ser>
          <c:idx val="3"/>
          <c:order val="15"/>
          <c:tx>
            <c:strRef>
              <c:f>Февраль!$B$42:$D$42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341.67</c:v>
                </c:pt>
              </c:numCache>
            </c:numRef>
          </c:val>
        </c:ser>
        <c:shape val="box"/>
        <c:axId val="99758848"/>
        <c:axId val="99760384"/>
        <c:axId val="0"/>
      </c:bar3DChart>
      <c:catAx>
        <c:axId val="99758848"/>
        <c:scaling>
          <c:orientation val="minMax"/>
        </c:scaling>
        <c:axPos val="b"/>
        <c:tickLblPos val="nextTo"/>
        <c:crossAx val="99760384"/>
        <c:crosses val="autoZero"/>
        <c:auto val="1"/>
        <c:lblAlgn val="ctr"/>
        <c:lblOffset val="100"/>
      </c:catAx>
      <c:valAx>
        <c:axId val="99760384"/>
        <c:scaling>
          <c:orientation val="minMax"/>
        </c:scaling>
        <c:axPos val="l"/>
        <c:majorGridlines/>
        <c:numFmt formatCode="#,##0.00" sourceLinked="1"/>
        <c:tickLblPos val="nextTo"/>
        <c:crossAx val="9975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60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48</cp:revision>
  <cp:lastPrinted>2016-12-06T03:01:00Z</cp:lastPrinted>
  <dcterms:created xsi:type="dcterms:W3CDTF">2015-04-28T09:35:00Z</dcterms:created>
  <dcterms:modified xsi:type="dcterms:W3CDTF">2017-03-09T04:11:00Z</dcterms:modified>
</cp:coreProperties>
</file>