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01.2020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811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D121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80290,73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142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159336,82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93B7D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0C78D2" w:rsidRPr="006A5633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158 982,35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B4D5B" w:rsidP="004B4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D659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208 301,19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126896,92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222953,14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D752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75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164271,2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12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27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142831,31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C4F7D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170468,06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D10E00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10E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392804,29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6A7F1E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216274,95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87DA8" w:rsidP="0008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503363,82</w:t>
            </w: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239627,55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93B7D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398609,90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D6599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606911,09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733808,01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956761,15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D7529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1121032,35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1279F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1263863,66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C4F7D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1434331,72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10E00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1827136,03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6A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2043410,99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87DA8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2546774,81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A35621">
      <w:r w:rsidRPr="00A35621">
        <w:drawing>
          <wp:inline distT="0" distB="0" distL="0" distR="0">
            <wp:extent cx="7038975" cy="2628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A35621">
      <w:r w:rsidRPr="00A35621">
        <w:drawing>
          <wp:inline distT="0" distB="0" distL="0" distR="0">
            <wp:extent cx="7038975" cy="44672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6EB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87DA8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D1215"/>
    <w:rsid w:val="008D27A3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E03AC"/>
    <w:rsid w:val="009E18F2"/>
    <w:rsid w:val="009E6ED7"/>
    <w:rsid w:val="009F5D2B"/>
    <w:rsid w:val="009F6BA8"/>
    <w:rsid w:val="00A03A53"/>
    <w:rsid w:val="00A1106C"/>
    <w:rsid w:val="00A12C8A"/>
    <w:rsid w:val="00A35621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6E1E"/>
    <w:rsid w:val="00C120CB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5119C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10E00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939A0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1.2020\&#1044;&#1086;&#1093;&#1086;&#1076;&#1099;%20&#1076;&#1083;&#1103;%20&#1089;&#1072;&#1081;&#1090;&#1072;%20&#1085;&#1072;%2001.01.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1.2020\&#1044;&#1086;&#1093;&#1086;&#1076;&#1099;%20&#1076;&#1083;&#1103;%20&#1089;&#1072;&#1081;&#1090;&#1072;%20&#1085;&#1072;%2001.01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5988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декабрь!$C$21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декабрь!$C$22:$C$33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1"/>
          <c:order val="1"/>
          <c:tx>
            <c:strRef>
              <c:f>декабрь!$D$21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декабрь!$D$22:$D$33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2"/>
          <c:order val="2"/>
          <c:tx>
            <c:strRef>
              <c:f>декабрь!$E$21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декабрь!$E$22:$E$33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3"/>
          <c:order val="3"/>
          <c:tx>
            <c:strRef>
              <c:f>декабрь!$F$21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декабрь!$B$22:$B$33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декабрь!$F$22:$F$33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marker val="1"/>
        <c:axId val="134756224"/>
        <c:axId val="134757760"/>
      </c:lineChart>
      <c:catAx>
        <c:axId val="134756224"/>
        <c:scaling>
          <c:orientation val="minMax"/>
        </c:scaling>
        <c:axPos val="b"/>
        <c:tickLblPos val="nextTo"/>
        <c:crossAx val="134757760"/>
        <c:crosses val="autoZero"/>
        <c:auto val="1"/>
        <c:lblAlgn val="ctr"/>
        <c:lblOffset val="100"/>
      </c:catAx>
      <c:valAx>
        <c:axId val="134757760"/>
        <c:scaling>
          <c:orientation val="minMax"/>
        </c:scaling>
        <c:axPos val="l"/>
        <c:majorGridlines/>
        <c:numFmt formatCode="#,##0.00" sourceLinked="1"/>
        <c:tickLblPos val="nextTo"/>
        <c:crossAx val="134756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497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декабрь!$B$57:$D$57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декабрь!$E$57:$G$57</c:f>
              <c:numCache>
                <c:formatCode>#,##0.00</c:formatCode>
                <c:ptCount val="3"/>
                <c:pt idx="0">
                  <c:v>1375372.7</c:v>
                </c:pt>
                <c:pt idx="1">
                  <c:v>2124181.5699999998</c:v>
                </c:pt>
                <c:pt idx="2">
                  <c:v>2112210.2499999995</c:v>
                </c:pt>
              </c:numCache>
            </c:numRef>
          </c:val>
        </c:ser>
        <c:ser>
          <c:idx val="15"/>
          <c:order val="1"/>
          <c:tx>
            <c:strRef>
              <c:f>декабрь!$B$56:$D$56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109.55</c:v>
                </c:pt>
                <c:pt idx="2">
                  <c:v>197.20000000000002</c:v>
                </c:pt>
              </c:numCache>
            </c:numRef>
          </c:val>
        </c:ser>
        <c:ser>
          <c:idx val="14"/>
          <c:order val="2"/>
          <c:tx>
            <c:strRef>
              <c:f>декабрь!$B$55:$D$55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декабрь!$E$55:$G$55</c:f>
              <c:numCache>
                <c:formatCode>#,##0.00</c:formatCode>
                <c:ptCount val="3"/>
                <c:pt idx="0">
                  <c:v>10329.959999999995</c:v>
                </c:pt>
                <c:pt idx="1">
                  <c:v>10353.049999999997</c:v>
                </c:pt>
                <c:pt idx="2">
                  <c:v>10648.79</c:v>
                </c:pt>
              </c:numCache>
            </c:numRef>
          </c:val>
        </c:ser>
        <c:ser>
          <c:idx val="13"/>
          <c:order val="3"/>
          <c:tx>
            <c:strRef>
              <c:f>декабрь!$B$54:$D$54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2801.03</c:v>
                </c:pt>
                <c:pt idx="2">
                  <c:v>2801.58</c:v>
                </c:pt>
              </c:numCache>
            </c:numRef>
          </c:val>
        </c:ser>
        <c:ser>
          <c:idx val="12"/>
          <c:order val="4"/>
          <c:tx>
            <c:strRef>
              <c:f>декабрь!$B$53:$D$53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декабрь!$E$53:$G$53</c:f>
              <c:numCache>
                <c:formatCode>#,##0.00</c:formatCode>
                <c:ptCount val="3"/>
                <c:pt idx="0">
                  <c:v>4551.8</c:v>
                </c:pt>
                <c:pt idx="1">
                  <c:v>2212.4299999999998</c:v>
                </c:pt>
                <c:pt idx="2">
                  <c:v>2456.73</c:v>
                </c:pt>
              </c:numCache>
            </c:numRef>
          </c:val>
        </c:ser>
        <c:ser>
          <c:idx val="11"/>
          <c:order val="5"/>
          <c:tx>
            <c:strRef>
              <c:f>декабрь!$B$52:$D$52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декабрь!$E$52:$G$52</c:f>
              <c:numCache>
                <c:formatCode>#,##0.00</c:formatCode>
                <c:ptCount val="3"/>
                <c:pt idx="0">
                  <c:v>643.1</c:v>
                </c:pt>
                <c:pt idx="1">
                  <c:v>643.1</c:v>
                </c:pt>
                <c:pt idx="2">
                  <c:v>486.57</c:v>
                </c:pt>
              </c:numCache>
            </c:numRef>
          </c:val>
        </c:ser>
        <c:ser>
          <c:idx val="10"/>
          <c:order val="6"/>
          <c:tx>
            <c:strRef>
              <c:f>декабрь!$B$51:$D$51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декабрь!$E$51:$G$51</c:f>
              <c:numCache>
                <c:formatCode>#,##0.00</c:formatCode>
                <c:ptCount val="3"/>
                <c:pt idx="0">
                  <c:v>40711.880000000005</c:v>
                </c:pt>
                <c:pt idx="1">
                  <c:v>44854.67</c:v>
                </c:pt>
                <c:pt idx="2">
                  <c:v>46403.210000000006</c:v>
                </c:pt>
              </c:numCache>
            </c:numRef>
          </c:val>
        </c:ser>
        <c:ser>
          <c:idx val="9"/>
          <c:order val="7"/>
          <c:tx>
            <c:strRef>
              <c:f>декабрь!$B$50:$D$50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декабрь!$E$50:$G$50</c:f>
              <c:numCache>
                <c:formatCode>#,##0.00</c:formatCode>
                <c:ptCount val="3"/>
                <c:pt idx="0">
                  <c:v>16801.599999999995</c:v>
                </c:pt>
                <c:pt idx="1">
                  <c:v>16056.2</c:v>
                </c:pt>
                <c:pt idx="2">
                  <c:v>16030.77</c:v>
                </c:pt>
              </c:numCache>
            </c:numRef>
          </c:val>
        </c:ser>
        <c:ser>
          <c:idx val="8"/>
          <c:order val="8"/>
          <c:tx>
            <c:strRef>
              <c:f>декабрь!$B$49:$D$49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декабрь!$E$49:$G$49</c:f>
              <c:numCache>
                <c:formatCode>#,##0.00</c:formatCode>
                <c:ptCount val="3"/>
                <c:pt idx="0">
                  <c:v>15875.710000000001</c:v>
                </c:pt>
                <c:pt idx="1">
                  <c:v>17764.169999999995</c:v>
                </c:pt>
                <c:pt idx="2">
                  <c:v>17013.54</c:v>
                </c:pt>
              </c:numCache>
            </c:numRef>
          </c:val>
        </c:ser>
        <c:ser>
          <c:idx val="7"/>
          <c:order val="9"/>
          <c:tx>
            <c:strRef>
              <c:f>декабрь!$B$48:$D$48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декабрь!$E$48:$G$48</c:f>
              <c:numCache>
                <c:formatCode>#,##0.00</c:formatCode>
                <c:ptCount val="3"/>
                <c:pt idx="0">
                  <c:v>14091.859999999999</c:v>
                </c:pt>
                <c:pt idx="1">
                  <c:v>14091.859999999999</c:v>
                </c:pt>
                <c:pt idx="2">
                  <c:v>13437.52</c:v>
                </c:pt>
              </c:numCache>
            </c:numRef>
          </c:val>
        </c:ser>
        <c:ser>
          <c:idx val="6"/>
          <c:order val="10"/>
          <c:tx>
            <c:strRef>
              <c:f>декабрь!$B$47:$D$47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декабрь!$E$47:$G$47</c:f>
              <c:numCache>
                <c:formatCode>#,##0.00</c:formatCode>
                <c:ptCount val="3"/>
                <c:pt idx="0">
                  <c:v>1377.1</c:v>
                </c:pt>
                <c:pt idx="1">
                  <c:v>1377.11</c:v>
                </c:pt>
                <c:pt idx="2">
                  <c:v>494.31</c:v>
                </c:pt>
              </c:numCache>
            </c:numRef>
          </c:val>
        </c:ser>
        <c:ser>
          <c:idx val="5"/>
          <c:order val="11"/>
          <c:tx>
            <c:strRef>
              <c:f>декабрь!$B$46:$D$46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декабрь!$E$46:$G$46</c:f>
              <c:numCache>
                <c:formatCode>#,##0.00</c:formatCode>
                <c:ptCount val="3"/>
                <c:pt idx="0">
                  <c:v>622</c:v>
                </c:pt>
                <c:pt idx="1">
                  <c:v>719.43</c:v>
                </c:pt>
                <c:pt idx="2">
                  <c:v>719.39999999999964</c:v>
                </c:pt>
              </c:numCache>
            </c:numRef>
          </c:val>
        </c:ser>
        <c:ser>
          <c:idx val="1"/>
          <c:order val="12"/>
          <c:tx>
            <c:strRef>
              <c:f>декабрь!$B$45:$D$45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декабрь!$E$45:$G$45</c:f>
              <c:numCache>
                <c:formatCode>#,##0.00</c:formatCode>
                <c:ptCount val="3"/>
                <c:pt idx="0">
                  <c:v>27972.7</c:v>
                </c:pt>
                <c:pt idx="1">
                  <c:v>32091.08</c:v>
                </c:pt>
                <c:pt idx="2">
                  <c:v>32282.639999999992</c:v>
                </c:pt>
              </c:numCache>
            </c:numRef>
          </c:val>
        </c:ser>
        <c:ser>
          <c:idx val="0"/>
          <c:order val="13"/>
          <c:tx>
            <c:strRef>
              <c:f>декабрь!$B$44:$D$44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декабрь!$E$44:$G$44</c:f>
              <c:numCache>
                <c:formatCode>#,##0.00</c:formatCode>
                <c:ptCount val="3"/>
                <c:pt idx="0">
                  <c:v>20755</c:v>
                </c:pt>
                <c:pt idx="1">
                  <c:v>23200.829999999998</c:v>
                </c:pt>
                <c:pt idx="2">
                  <c:v>23121.809999999994</c:v>
                </c:pt>
              </c:numCache>
            </c:numRef>
          </c:val>
        </c:ser>
        <c:ser>
          <c:idx val="4"/>
          <c:order val="14"/>
          <c:tx>
            <c:strRef>
              <c:f>декабрь!$B$43:$D$43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декабрь!$E$43:$G$43</c:f>
              <c:numCache>
                <c:formatCode>#,##0.00</c:formatCode>
                <c:ptCount val="3"/>
                <c:pt idx="0">
                  <c:v>257029.29</c:v>
                </c:pt>
                <c:pt idx="1">
                  <c:v>264306.71000000002</c:v>
                </c:pt>
                <c:pt idx="2">
                  <c:v>265619.48000000004</c:v>
                </c:pt>
              </c:numCache>
            </c:numRef>
          </c:val>
        </c:ser>
        <c:ser>
          <c:idx val="3"/>
          <c:order val="15"/>
          <c:tx>
            <c:strRef>
              <c:f>декабрь!$B$42:$D$42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декабрь!$E$40:$G$40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декабрь!$E$42:$G$42</c:f>
              <c:numCache>
                <c:formatCode>#,##0.00</c:formatCode>
                <c:ptCount val="3"/>
                <c:pt idx="0">
                  <c:v>3588.4</c:v>
                </c:pt>
                <c:pt idx="1">
                  <c:v>2790</c:v>
                </c:pt>
                <c:pt idx="2">
                  <c:v>2851.0099999999998</c:v>
                </c:pt>
              </c:numCache>
            </c:numRef>
          </c:val>
        </c:ser>
        <c:shape val="box"/>
        <c:axId val="161291264"/>
        <c:axId val="161305344"/>
        <c:axId val="0"/>
      </c:bar3DChart>
      <c:catAx>
        <c:axId val="161291264"/>
        <c:scaling>
          <c:orientation val="minMax"/>
        </c:scaling>
        <c:axPos val="b"/>
        <c:tickLblPos val="nextTo"/>
        <c:crossAx val="161305344"/>
        <c:crosses val="autoZero"/>
        <c:auto val="1"/>
        <c:lblAlgn val="ctr"/>
        <c:lblOffset val="100"/>
      </c:catAx>
      <c:valAx>
        <c:axId val="161305344"/>
        <c:scaling>
          <c:orientation val="minMax"/>
        </c:scaling>
        <c:axPos val="l"/>
        <c:majorGridlines/>
        <c:numFmt formatCode="#,##0.00" sourceLinked="1"/>
        <c:tickLblPos val="nextTo"/>
        <c:crossAx val="161291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177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117</cp:revision>
  <cp:lastPrinted>2016-12-06T03:01:00Z</cp:lastPrinted>
  <dcterms:created xsi:type="dcterms:W3CDTF">2015-04-28T09:35:00Z</dcterms:created>
  <dcterms:modified xsi:type="dcterms:W3CDTF">2020-01-17T04:33:00Z</dcterms:modified>
</cp:coreProperties>
</file>