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A8C" w:rsidRDefault="003D37E5">
      <w:pPr>
        <w:jc w:val="center"/>
        <w:rPr>
          <w:rFonts w:ascii="Times New Roman" w:hAnsi="Times New Roman" w:cs="Times New Roman"/>
          <w:b/>
          <w:szCs w:val="28"/>
        </w:rPr>
      </w:pPr>
      <w:r>
        <w:rPr>
          <w:rFonts w:ascii="Times New Roman" w:hAnsi="Times New Roman" w:cs="Times New Roman"/>
          <w:b/>
        </w:rPr>
        <w:t xml:space="preserve">Пояснительная записка к отчёту </w:t>
      </w:r>
      <w:r>
        <w:rPr>
          <w:rFonts w:ascii="Times New Roman" w:hAnsi="Times New Roman" w:cs="Times New Roman"/>
          <w:b/>
        </w:rPr>
        <w:br/>
      </w:r>
      <w:r>
        <w:rPr>
          <w:rFonts w:ascii="Times New Roman" w:hAnsi="Times New Roman" w:cs="Times New Roman"/>
          <w:b/>
          <w:szCs w:val="28"/>
        </w:rPr>
        <w:t>о результатах мониторинга качества финансового менеджмента</w:t>
      </w:r>
    </w:p>
    <w:p w:rsidR="001D7A8C" w:rsidRDefault="003D37E5">
      <w:pPr>
        <w:jc w:val="center"/>
        <w:rPr>
          <w:rFonts w:ascii="Times New Roman" w:hAnsi="Times New Roman" w:cs="Times New Roman"/>
          <w:b/>
          <w:szCs w:val="28"/>
        </w:rPr>
      </w:pPr>
      <w:r>
        <w:rPr>
          <w:rFonts w:ascii="Times New Roman" w:hAnsi="Times New Roman" w:cs="Times New Roman"/>
          <w:b/>
          <w:szCs w:val="28"/>
        </w:rPr>
        <w:t>за 2022 год</w:t>
      </w:r>
    </w:p>
    <w:p w:rsidR="001D7A8C" w:rsidRDefault="001D7A8C">
      <w:pPr>
        <w:jc w:val="center"/>
        <w:rPr>
          <w:rFonts w:ascii="Times New Roman" w:hAnsi="Times New Roman" w:cs="Times New Roman"/>
          <w:szCs w:val="28"/>
        </w:rPr>
      </w:pPr>
    </w:p>
    <w:p w:rsidR="001D7A8C" w:rsidRDefault="003D37E5">
      <w:pPr>
        <w:ind w:firstLine="709"/>
        <w:rPr>
          <w:rFonts w:ascii="Times New Roman" w:eastAsia="Times New Roman" w:hAnsi="Times New Roman" w:cs="Times New Roman"/>
          <w:szCs w:val="28"/>
          <w:lang w:eastAsia="ru-RU"/>
        </w:rPr>
      </w:pPr>
      <w:proofErr w:type="gramStart"/>
      <w:r>
        <w:rPr>
          <w:rFonts w:ascii="Times New Roman" w:eastAsia="Times New Roman" w:hAnsi="Times New Roman" w:cs="Times New Roman"/>
          <w:szCs w:val="28"/>
          <w:lang w:eastAsia="ru-RU"/>
        </w:rPr>
        <w:t>Мониторинг качества финансового менеджмента проводился финансовым управлением администрации города Минусинска в отношении главных распорядителей средств бюджета города, главных администраторов доходов бюджета города, главных администраторов источников финансирования дефицита бюджета города (далее – главные администраторы) в соответствии с приказом финансового управления администрации города Минусинска от 30.12.2021 № 100-п «Об утверждении порядка проведения финансовым управлением администрации города Минусинска мониторинга качества финансового менеджмента» (далее – Порядок).</w:t>
      </w:r>
      <w:proofErr w:type="gramEnd"/>
    </w:p>
    <w:p w:rsidR="001D7A8C" w:rsidRDefault="003D37E5">
      <w:pPr>
        <w:spacing w:before="100" w:beforeAutospacing="1" w:after="100" w:afterAutospacing="1"/>
        <w:ind w:firstLine="708"/>
        <w:outlineLvl w:val="0"/>
        <w:rPr>
          <w:rFonts w:ascii="Times New Roman" w:eastAsia="Times New Roman" w:hAnsi="Times New Roman" w:cs="Times New Roman"/>
          <w:b/>
          <w:bCs/>
          <w:kern w:val="36"/>
          <w:szCs w:val="28"/>
          <w:lang w:eastAsia="ru-RU"/>
        </w:rPr>
      </w:pPr>
      <w:r>
        <w:rPr>
          <w:rFonts w:ascii="Times New Roman" w:eastAsia="Times New Roman" w:hAnsi="Times New Roman" w:cs="Times New Roman"/>
          <w:bCs/>
          <w:kern w:val="36"/>
          <w:szCs w:val="28"/>
          <w:lang w:eastAsia="ru-RU"/>
        </w:rPr>
        <w:t xml:space="preserve">Согласно Порядку </w:t>
      </w:r>
      <w:r>
        <w:rPr>
          <w:rFonts w:ascii="Times New Roman" w:eastAsia="Times New Roman" w:hAnsi="Times New Roman" w:cs="Times New Roman"/>
          <w:szCs w:val="28"/>
          <w:lang w:eastAsia="ru-RU"/>
        </w:rPr>
        <w:t xml:space="preserve">Рейтинг главных администраторов составлен по двум группам: </w:t>
      </w:r>
    </w:p>
    <w:p w:rsidR="001D7A8C" w:rsidRDefault="003D37E5">
      <w:pPr>
        <w:ind w:firstLine="708"/>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1 группа - Главные администраторы, имеющие подведомственные учреждения (4 участников); </w:t>
      </w:r>
    </w:p>
    <w:p w:rsidR="001D7A8C" w:rsidRDefault="003D37E5">
      <w:pPr>
        <w:ind w:firstLine="708"/>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 группа - Главные администраторы, не имеющие подведомственных учреждений (</w:t>
      </w:r>
      <w:r w:rsidRPr="003D37E5">
        <w:rPr>
          <w:rFonts w:ascii="Times New Roman" w:eastAsia="Times New Roman" w:hAnsi="Times New Roman" w:cs="Times New Roman"/>
          <w:szCs w:val="28"/>
          <w:lang w:eastAsia="ru-RU"/>
        </w:rPr>
        <w:t>3</w:t>
      </w:r>
      <w:r>
        <w:rPr>
          <w:rFonts w:ascii="Times New Roman" w:eastAsia="Times New Roman" w:hAnsi="Times New Roman" w:cs="Times New Roman"/>
          <w:szCs w:val="28"/>
          <w:lang w:eastAsia="ru-RU"/>
        </w:rPr>
        <w:t xml:space="preserve"> участника). </w:t>
      </w:r>
    </w:p>
    <w:p w:rsidR="001D7A8C" w:rsidRDefault="003D37E5">
      <w:pPr>
        <w:ind w:firstLine="709"/>
        <w:rPr>
          <w:rFonts w:ascii="Times New Roman" w:hAnsi="Times New Roman" w:cs="Times New Roman"/>
        </w:rPr>
      </w:pPr>
      <w:r>
        <w:rPr>
          <w:rFonts w:ascii="Times New Roman" w:hAnsi="Times New Roman" w:cs="Times New Roman"/>
        </w:rPr>
        <w:t>При проведении мониторинга качества финансового менеджмента</w:t>
      </w:r>
      <w:r>
        <w:rPr>
          <w:rFonts w:ascii="Times New Roman" w:hAnsi="Times New Roman" w:cs="Times New Roman"/>
        </w:rPr>
        <w:br/>
        <w:t xml:space="preserve">в </w:t>
      </w:r>
      <w:r>
        <w:rPr>
          <w:rFonts w:ascii="Times New Roman" w:hAnsi="Times New Roman" w:cs="Times New Roman"/>
          <w:b/>
        </w:rPr>
        <w:t>1 группу</w:t>
      </w:r>
      <w:r>
        <w:rPr>
          <w:rFonts w:ascii="Times New Roman" w:hAnsi="Times New Roman" w:cs="Times New Roman"/>
        </w:rPr>
        <w:t xml:space="preserve"> вошли четыре главных администратора:</w:t>
      </w:r>
    </w:p>
    <w:p w:rsidR="001D7A8C" w:rsidRDefault="003D37E5">
      <w:pPr>
        <w:ind w:firstLine="709"/>
        <w:rPr>
          <w:rFonts w:ascii="Times New Roman" w:hAnsi="Times New Roman" w:cs="Times New Roman"/>
        </w:rPr>
      </w:pPr>
      <w:r>
        <w:rPr>
          <w:rFonts w:ascii="Times New Roman" w:hAnsi="Times New Roman" w:cs="Times New Roman"/>
        </w:rPr>
        <w:t>- Администрация города Минусинска;</w:t>
      </w:r>
    </w:p>
    <w:p w:rsidR="001D7A8C" w:rsidRDefault="003D37E5">
      <w:pPr>
        <w:tabs>
          <w:tab w:val="left" w:pos="284"/>
        </w:tabs>
        <w:ind w:firstLine="720"/>
        <w:rPr>
          <w:rFonts w:ascii="Times New Roman" w:hAnsi="Times New Roman" w:cs="Times New Roman"/>
        </w:rPr>
      </w:pPr>
      <w:r>
        <w:rPr>
          <w:rFonts w:ascii="Times New Roman" w:hAnsi="Times New Roman" w:cs="Times New Roman"/>
        </w:rPr>
        <w:t>- Отдел спорта и молодёжной политики администрации города Минусинска;</w:t>
      </w:r>
    </w:p>
    <w:p w:rsidR="001D7A8C" w:rsidRDefault="003D37E5">
      <w:pPr>
        <w:tabs>
          <w:tab w:val="left" w:pos="284"/>
        </w:tabs>
        <w:ind w:firstLine="720"/>
        <w:rPr>
          <w:rFonts w:ascii="Times New Roman" w:hAnsi="Times New Roman" w:cs="Times New Roman"/>
        </w:rPr>
      </w:pPr>
      <w:r>
        <w:rPr>
          <w:rFonts w:ascii="Times New Roman" w:hAnsi="Times New Roman" w:cs="Times New Roman"/>
        </w:rPr>
        <w:t>- Отдел культуры администрации города Минусинска;</w:t>
      </w:r>
    </w:p>
    <w:p w:rsidR="001D7A8C" w:rsidRDefault="003D37E5">
      <w:pPr>
        <w:tabs>
          <w:tab w:val="left" w:pos="284"/>
        </w:tabs>
        <w:ind w:firstLine="720"/>
        <w:rPr>
          <w:rFonts w:ascii="Times New Roman" w:hAnsi="Times New Roman" w:cs="Times New Roman"/>
        </w:rPr>
      </w:pPr>
      <w:r>
        <w:rPr>
          <w:rFonts w:ascii="Times New Roman" w:hAnsi="Times New Roman" w:cs="Times New Roman"/>
        </w:rPr>
        <w:t>- Управление образования администрации города Минусинска</w:t>
      </w:r>
    </w:p>
    <w:p w:rsidR="001D7A8C" w:rsidRDefault="003D37E5">
      <w:pPr>
        <w:tabs>
          <w:tab w:val="left" w:pos="284"/>
        </w:tabs>
        <w:ind w:firstLine="720"/>
        <w:rPr>
          <w:rFonts w:ascii="Times New Roman" w:hAnsi="Times New Roman" w:cs="Times New Roman"/>
        </w:rPr>
      </w:pPr>
      <w:r>
        <w:rPr>
          <w:rFonts w:ascii="Times New Roman" w:hAnsi="Times New Roman" w:cs="Times New Roman"/>
        </w:rPr>
        <w:t xml:space="preserve">Во </w:t>
      </w:r>
      <w:r>
        <w:rPr>
          <w:rFonts w:ascii="Times New Roman" w:hAnsi="Times New Roman" w:cs="Times New Roman"/>
          <w:b/>
        </w:rPr>
        <w:t>2 группу</w:t>
      </w:r>
      <w:r>
        <w:rPr>
          <w:rFonts w:ascii="Times New Roman" w:hAnsi="Times New Roman" w:cs="Times New Roman"/>
        </w:rPr>
        <w:t xml:space="preserve"> вошли три главных администратора:</w:t>
      </w:r>
    </w:p>
    <w:p w:rsidR="001D7A8C" w:rsidRDefault="003D37E5">
      <w:pPr>
        <w:pStyle w:val="a7"/>
        <w:numPr>
          <w:ilvl w:val="0"/>
          <w:numId w:val="1"/>
        </w:numPr>
        <w:tabs>
          <w:tab w:val="left" w:pos="0"/>
          <w:tab w:val="left" w:pos="284"/>
        </w:tabs>
        <w:ind w:left="993" w:hanging="284"/>
        <w:rPr>
          <w:color w:val="000000"/>
          <w:szCs w:val="28"/>
        </w:rPr>
      </w:pPr>
      <w:r>
        <w:rPr>
          <w:color w:val="000000"/>
          <w:szCs w:val="28"/>
        </w:rPr>
        <w:t>Минусинский городской Совет депутатов;</w:t>
      </w:r>
    </w:p>
    <w:p w:rsidR="001D7A8C" w:rsidRDefault="003D37E5">
      <w:pPr>
        <w:pStyle w:val="a7"/>
        <w:numPr>
          <w:ilvl w:val="0"/>
          <w:numId w:val="1"/>
        </w:numPr>
        <w:tabs>
          <w:tab w:val="left" w:pos="0"/>
          <w:tab w:val="left" w:pos="284"/>
        </w:tabs>
        <w:ind w:left="993" w:hanging="284"/>
        <w:rPr>
          <w:color w:val="000000"/>
          <w:szCs w:val="28"/>
        </w:rPr>
      </w:pPr>
      <w:r>
        <w:rPr>
          <w:color w:val="000000"/>
          <w:szCs w:val="28"/>
        </w:rPr>
        <w:t>Финансовое управление администрации города Минусинска;</w:t>
      </w:r>
    </w:p>
    <w:p w:rsidR="001D7A8C" w:rsidRDefault="003D37E5">
      <w:pPr>
        <w:pStyle w:val="a7"/>
        <w:numPr>
          <w:ilvl w:val="0"/>
          <w:numId w:val="1"/>
        </w:numPr>
        <w:tabs>
          <w:tab w:val="left" w:pos="0"/>
          <w:tab w:val="left" w:pos="284"/>
        </w:tabs>
        <w:ind w:left="993" w:hanging="284"/>
        <w:rPr>
          <w:color w:val="000000"/>
          <w:szCs w:val="28"/>
        </w:rPr>
      </w:pPr>
      <w:r>
        <w:rPr>
          <w:color w:val="000000"/>
          <w:szCs w:val="28"/>
        </w:rPr>
        <w:t>Контрольно - счётная палата города Минусинска.</w:t>
      </w:r>
    </w:p>
    <w:p w:rsidR="001D7A8C" w:rsidRDefault="001D7A8C">
      <w:pPr>
        <w:tabs>
          <w:tab w:val="left" w:pos="284"/>
        </w:tabs>
        <w:ind w:firstLine="709"/>
        <w:rPr>
          <w:rFonts w:ascii="Times New Roman" w:hAnsi="Times New Roman" w:cs="Times New Roman"/>
        </w:rPr>
      </w:pPr>
    </w:p>
    <w:p w:rsidR="001D7A8C" w:rsidRDefault="003D37E5">
      <w:pPr>
        <w:pStyle w:val="a7"/>
        <w:ind w:left="0" w:firstLine="720"/>
        <w:rPr>
          <w:szCs w:val="28"/>
        </w:rPr>
      </w:pPr>
      <w:r>
        <w:rPr>
          <w:szCs w:val="28"/>
        </w:rPr>
        <w:t>Всего оценке за 2022 год подлежат семь главных администраторов.</w:t>
      </w:r>
    </w:p>
    <w:p w:rsidR="001D7A8C" w:rsidRDefault="003D37E5">
      <w:pPr>
        <w:pStyle w:val="a7"/>
        <w:ind w:left="0"/>
        <w:rPr>
          <w:szCs w:val="28"/>
        </w:rPr>
      </w:pPr>
      <w:r>
        <w:rPr>
          <w:szCs w:val="28"/>
        </w:rPr>
        <w:tab/>
      </w:r>
    </w:p>
    <w:p w:rsidR="001D7A8C" w:rsidRDefault="003D37E5">
      <w:pPr>
        <w:shd w:val="clear" w:color="auto" w:fill="FFFFFF"/>
        <w:ind w:firstLine="709"/>
        <w:rPr>
          <w:rFonts w:ascii="Times New Roman" w:hAnsi="Times New Roman" w:cs="Times New Roman"/>
          <w:szCs w:val="28"/>
        </w:rPr>
      </w:pPr>
      <w:r>
        <w:rPr>
          <w:rFonts w:ascii="Times New Roman" w:hAnsi="Times New Roman" w:cs="Times New Roman"/>
          <w:szCs w:val="28"/>
        </w:rPr>
        <w:t xml:space="preserve">Мониторинг качества финансового менеджмента проводился </w:t>
      </w:r>
      <w:r>
        <w:rPr>
          <w:rFonts w:ascii="Times New Roman" w:hAnsi="Times New Roman" w:cs="Times New Roman"/>
          <w:szCs w:val="28"/>
        </w:rPr>
        <w:br/>
        <w:t>по следующим группам показателей:</w:t>
      </w:r>
    </w:p>
    <w:p w:rsidR="001D7A8C" w:rsidRDefault="003D37E5">
      <w:pPr>
        <w:pStyle w:val="a7"/>
        <w:numPr>
          <w:ilvl w:val="0"/>
          <w:numId w:val="1"/>
        </w:numPr>
        <w:rPr>
          <w:szCs w:val="28"/>
        </w:rPr>
      </w:pPr>
      <w:r>
        <w:rPr>
          <w:szCs w:val="28"/>
        </w:rPr>
        <w:t xml:space="preserve">оценка качества планирования расходов;   </w:t>
      </w:r>
    </w:p>
    <w:p w:rsidR="001D7A8C" w:rsidRDefault="003D37E5">
      <w:pPr>
        <w:pStyle w:val="a7"/>
        <w:numPr>
          <w:ilvl w:val="0"/>
          <w:numId w:val="1"/>
        </w:numPr>
        <w:rPr>
          <w:szCs w:val="28"/>
        </w:rPr>
      </w:pPr>
      <w:r>
        <w:rPr>
          <w:szCs w:val="28"/>
        </w:rPr>
        <w:t>оценка качества управления доходами;</w:t>
      </w:r>
    </w:p>
    <w:p w:rsidR="001D7A8C" w:rsidRDefault="003D37E5">
      <w:pPr>
        <w:pStyle w:val="a7"/>
        <w:numPr>
          <w:ilvl w:val="0"/>
          <w:numId w:val="1"/>
        </w:numPr>
        <w:rPr>
          <w:szCs w:val="28"/>
        </w:rPr>
      </w:pPr>
      <w:r>
        <w:rPr>
          <w:szCs w:val="28"/>
        </w:rPr>
        <w:t xml:space="preserve">оценка качества управления расходами;  </w:t>
      </w:r>
    </w:p>
    <w:p w:rsidR="001D7A8C" w:rsidRDefault="003D37E5">
      <w:pPr>
        <w:pStyle w:val="a7"/>
        <w:numPr>
          <w:ilvl w:val="0"/>
          <w:numId w:val="1"/>
        </w:numPr>
        <w:rPr>
          <w:szCs w:val="28"/>
        </w:rPr>
      </w:pPr>
      <w:r>
        <w:rPr>
          <w:szCs w:val="28"/>
        </w:rPr>
        <w:t xml:space="preserve">оценка качества управления обязательствами;         </w:t>
      </w:r>
    </w:p>
    <w:p w:rsidR="001D7A8C" w:rsidRDefault="003D37E5">
      <w:pPr>
        <w:pStyle w:val="a7"/>
        <w:numPr>
          <w:ilvl w:val="0"/>
          <w:numId w:val="1"/>
        </w:numPr>
        <w:rPr>
          <w:szCs w:val="28"/>
        </w:rPr>
      </w:pPr>
      <w:r>
        <w:rPr>
          <w:szCs w:val="28"/>
        </w:rPr>
        <w:t xml:space="preserve">оценка качества ведения учёта и составления бюджетной отчётности;        </w:t>
      </w:r>
    </w:p>
    <w:p w:rsidR="001D7A8C" w:rsidRDefault="003D37E5">
      <w:pPr>
        <w:pStyle w:val="a7"/>
        <w:numPr>
          <w:ilvl w:val="0"/>
          <w:numId w:val="1"/>
        </w:numPr>
        <w:ind w:left="0" w:firstLine="1069"/>
        <w:rPr>
          <w:szCs w:val="28"/>
        </w:rPr>
      </w:pPr>
      <w:r>
        <w:rPr>
          <w:szCs w:val="28"/>
        </w:rPr>
        <w:t xml:space="preserve">оценка качества организации и осуществления внутреннего финансового аудита и финансового менеджмента;         </w:t>
      </w:r>
    </w:p>
    <w:p w:rsidR="001D7A8C" w:rsidRDefault="003D37E5">
      <w:pPr>
        <w:pStyle w:val="a7"/>
        <w:numPr>
          <w:ilvl w:val="0"/>
          <w:numId w:val="1"/>
        </w:numPr>
        <w:ind w:left="0" w:firstLine="1069"/>
        <w:rPr>
          <w:szCs w:val="28"/>
        </w:rPr>
      </w:pPr>
      <w:r>
        <w:rPr>
          <w:szCs w:val="28"/>
        </w:rPr>
        <w:lastRenderedPageBreak/>
        <w:t>оценка финансово-экономической деятельности подведомственных главному администратору учреждений;</w:t>
      </w:r>
    </w:p>
    <w:p w:rsidR="001D7A8C" w:rsidRDefault="003D37E5">
      <w:pPr>
        <w:pStyle w:val="a7"/>
        <w:numPr>
          <w:ilvl w:val="0"/>
          <w:numId w:val="1"/>
        </w:numPr>
        <w:rPr>
          <w:szCs w:val="28"/>
        </w:rPr>
      </w:pPr>
      <w:r>
        <w:rPr>
          <w:szCs w:val="28"/>
        </w:rPr>
        <w:t>оценка качества управления активами</w:t>
      </w:r>
    </w:p>
    <w:p w:rsidR="001D7A8C" w:rsidRDefault="003D37E5">
      <w:pPr>
        <w:pStyle w:val="a7"/>
        <w:numPr>
          <w:ilvl w:val="0"/>
          <w:numId w:val="1"/>
        </w:numPr>
        <w:ind w:left="0" w:firstLine="1069"/>
        <w:rPr>
          <w:szCs w:val="28"/>
        </w:rPr>
      </w:pPr>
      <w:r>
        <w:rPr>
          <w:szCs w:val="28"/>
        </w:rPr>
        <w:t>оценка качества осуществления закупок товаров, работ и услуг для обеспечения муниципальных нужд.</w:t>
      </w:r>
    </w:p>
    <w:p w:rsidR="001D7A8C" w:rsidRDefault="001D7A8C">
      <w:pPr>
        <w:pStyle w:val="ConsPlusNormal"/>
        <w:widowControl/>
        <w:ind w:firstLine="709"/>
        <w:jc w:val="both"/>
        <w:rPr>
          <w:rFonts w:ascii="Times New Roman" w:hAnsi="Times New Roman" w:cs="Times New Roman"/>
          <w:b/>
          <w:sz w:val="28"/>
          <w:szCs w:val="28"/>
        </w:rPr>
      </w:pPr>
    </w:p>
    <w:p w:rsidR="001D7A8C" w:rsidRDefault="003D37E5">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Оценка среднего уровня качества финансового менеджмента по всем главным администраторам составляет 4,2 балла (</w:t>
      </w:r>
      <w:proofErr w:type="gramStart"/>
      <w:r>
        <w:rPr>
          <w:rFonts w:ascii="Times New Roman" w:hAnsi="Times New Roman" w:cs="Times New Roman"/>
          <w:b/>
          <w:sz w:val="28"/>
          <w:szCs w:val="28"/>
        </w:rPr>
        <w:t>при</w:t>
      </w:r>
      <w:proofErr w:type="gramEnd"/>
      <w:r>
        <w:rPr>
          <w:rFonts w:ascii="Times New Roman" w:hAnsi="Times New Roman" w:cs="Times New Roman"/>
          <w:b/>
          <w:sz w:val="28"/>
          <w:szCs w:val="28"/>
        </w:rPr>
        <w:t xml:space="preserve"> максимально возможном 5 баллов).</w:t>
      </w:r>
    </w:p>
    <w:p w:rsidR="001D7A8C" w:rsidRDefault="001D7A8C">
      <w:pPr>
        <w:pStyle w:val="ConsPlusNormal"/>
        <w:widowControl/>
        <w:ind w:firstLine="709"/>
        <w:jc w:val="both"/>
        <w:rPr>
          <w:rFonts w:ascii="Times New Roman" w:hAnsi="Times New Roman" w:cs="Times New Roman"/>
          <w:b/>
          <w:sz w:val="28"/>
          <w:szCs w:val="28"/>
        </w:rPr>
      </w:pPr>
    </w:p>
    <w:p w:rsidR="001D7A8C" w:rsidRDefault="003D37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 1 группе наивысшую рейтинговую оценку имеют главные администраторы, имеющие подведомственные учреждения:</w:t>
      </w:r>
    </w:p>
    <w:tbl>
      <w:tblPr>
        <w:tblW w:w="0" w:type="auto"/>
        <w:tblInd w:w="-34" w:type="dxa"/>
        <w:tblLook w:val="04A0"/>
      </w:tblPr>
      <w:tblGrid>
        <w:gridCol w:w="1537"/>
        <w:gridCol w:w="8351"/>
      </w:tblGrid>
      <w:tr w:rsidR="001D7A8C">
        <w:tc>
          <w:tcPr>
            <w:tcW w:w="1537" w:type="dxa"/>
          </w:tcPr>
          <w:p w:rsidR="001D7A8C" w:rsidRDefault="003D37E5">
            <w:pPr>
              <w:ind w:left="-1418" w:firstLine="1418"/>
              <w:jc w:val="left"/>
              <w:rPr>
                <w:rFonts w:ascii="Times New Roman" w:hAnsi="Times New Roman" w:cs="Times New Roman"/>
                <w:szCs w:val="28"/>
              </w:rPr>
            </w:pPr>
            <w:r>
              <w:rPr>
                <w:rFonts w:ascii="Times New Roman" w:hAnsi="Times New Roman" w:cs="Times New Roman"/>
                <w:szCs w:val="28"/>
              </w:rPr>
              <w:t>1 место –</w:t>
            </w:r>
          </w:p>
        </w:tc>
        <w:tc>
          <w:tcPr>
            <w:tcW w:w="8351" w:type="dxa"/>
          </w:tcPr>
          <w:p w:rsidR="001D7A8C" w:rsidRDefault="003D37E5">
            <w:pPr>
              <w:rPr>
                <w:rFonts w:ascii="Times New Roman" w:hAnsi="Times New Roman" w:cs="Times New Roman"/>
                <w:szCs w:val="28"/>
              </w:rPr>
            </w:pPr>
            <w:r>
              <w:rPr>
                <w:rFonts w:ascii="Times New Roman" w:hAnsi="Times New Roman" w:cs="Times New Roman"/>
                <w:szCs w:val="28"/>
              </w:rPr>
              <w:t>Отдел спорта и молодёжной политики администрации города Минусинска – 4,6 балла, количество оцениваемых показателей 19 (по итогам за 2021 год также занимало 1 место с оценкой – 4,7 балла);</w:t>
            </w:r>
          </w:p>
        </w:tc>
      </w:tr>
      <w:tr w:rsidR="001D7A8C">
        <w:trPr>
          <w:trHeight w:val="605"/>
        </w:trPr>
        <w:tc>
          <w:tcPr>
            <w:tcW w:w="1537" w:type="dxa"/>
          </w:tcPr>
          <w:p w:rsidR="001D7A8C" w:rsidRDefault="003D37E5">
            <w:pPr>
              <w:jc w:val="left"/>
              <w:rPr>
                <w:rFonts w:ascii="Times New Roman" w:hAnsi="Times New Roman" w:cs="Times New Roman"/>
                <w:szCs w:val="28"/>
              </w:rPr>
            </w:pPr>
            <w:r>
              <w:rPr>
                <w:rFonts w:ascii="Times New Roman" w:hAnsi="Times New Roman" w:cs="Times New Roman"/>
                <w:szCs w:val="28"/>
              </w:rPr>
              <w:t>2 место –</w:t>
            </w:r>
          </w:p>
        </w:tc>
        <w:tc>
          <w:tcPr>
            <w:tcW w:w="8351" w:type="dxa"/>
          </w:tcPr>
          <w:p w:rsidR="001D7A8C" w:rsidRDefault="003D37E5">
            <w:pPr>
              <w:rPr>
                <w:rFonts w:ascii="Times New Roman" w:hAnsi="Times New Roman" w:cs="Times New Roman"/>
                <w:color w:val="000000"/>
                <w:szCs w:val="28"/>
              </w:rPr>
            </w:pPr>
            <w:r>
              <w:rPr>
                <w:rFonts w:ascii="Times New Roman" w:hAnsi="Times New Roman" w:cs="Times New Roman"/>
                <w:color w:val="000000"/>
                <w:szCs w:val="28"/>
              </w:rPr>
              <w:t>Управление образования администрации города Минусинска – 4,3 балла, количество оцениваемых показателей 23 (по итогам за 2021 год занимало 4 место с оценкой – 3,5 балла);</w:t>
            </w:r>
          </w:p>
        </w:tc>
      </w:tr>
      <w:tr w:rsidR="001D7A8C">
        <w:tc>
          <w:tcPr>
            <w:tcW w:w="1537" w:type="dxa"/>
          </w:tcPr>
          <w:p w:rsidR="001D7A8C" w:rsidRDefault="003D37E5">
            <w:pPr>
              <w:jc w:val="left"/>
              <w:rPr>
                <w:rFonts w:ascii="Times New Roman" w:hAnsi="Times New Roman" w:cs="Times New Roman"/>
                <w:szCs w:val="28"/>
              </w:rPr>
            </w:pPr>
            <w:r>
              <w:rPr>
                <w:rFonts w:ascii="Times New Roman" w:hAnsi="Times New Roman" w:cs="Times New Roman"/>
                <w:szCs w:val="28"/>
              </w:rPr>
              <w:t>3 место –</w:t>
            </w:r>
          </w:p>
        </w:tc>
        <w:tc>
          <w:tcPr>
            <w:tcW w:w="8351" w:type="dxa"/>
          </w:tcPr>
          <w:p w:rsidR="001D7A8C" w:rsidRDefault="003D37E5">
            <w:pPr>
              <w:rPr>
                <w:rFonts w:ascii="Times New Roman" w:hAnsi="Times New Roman" w:cs="Times New Roman"/>
                <w:szCs w:val="28"/>
              </w:rPr>
            </w:pPr>
            <w:r>
              <w:rPr>
                <w:rFonts w:ascii="Times New Roman" w:hAnsi="Times New Roman" w:cs="Times New Roman"/>
                <w:szCs w:val="28"/>
              </w:rPr>
              <w:t>Отдел культуры администрации города Минусинска – 4,2 балла, количество оцениваемых показателей 19 (по итогам за 2021 год занимало 2 место с оценкой – 4,1 балла);</w:t>
            </w:r>
          </w:p>
        </w:tc>
      </w:tr>
      <w:tr w:rsidR="001D7A8C">
        <w:tc>
          <w:tcPr>
            <w:tcW w:w="1537" w:type="dxa"/>
          </w:tcPr>
          <w:p w:rsidR="001D7A8C" w:rsidRDefault="003D37E5">
            <w:pPr>
              <w:jc w:val="left"/>
              <w:rPr>
                <w:rFonts w:ascii="Times New Roman" w:hAnsi="Times New Roman" w:cs="Times New Roman"/>
                <w:szCs w:val="28"/>
              </w:rPr>
            </w:pPr>
            <w:r>
              <w:rPr>
                <w:rFonts w:ascii="Times New Roman" w:hAnsi="Times New Roman" w:cs="Times New Roman"/>
                <w:szCs w:val="28"/>
              </w:rPr>
              <w:t>4 место –</w:t>
            </w:r>
          </w:p>
        </w:tc>
        <w:tc>
          <w:tcPr>
            <w:tcW w:w="8351" w:type="dxa"/>
          </w:tcPr>
          <w:p w:rsidR="001D7A8C" w:rsidRDefault="003D37E5" w:rsidP="00F4591D">
            <w:pPr>
              <w:rPr>
                <w:rFonts w:ascii="Times New Roman" w:hAnsi="Times New Roman" w:cs="Times New Roman"/>
                <w:szCs w:val="28"/>
              </w:rPr>
            </w:pPr>
            <w:r>
              <w:rPr>
                <w:rFonts w:ascii="Times New Roman" w:hAnsi="Times New Roman" w:cs="Times New Roman"/>
                <w:color w:val="000000"/>
                <w:szCs w:val="28"/>
              </w:rPr>
              <w:t>Администрация города Минусинска</w:t>
            </w:r>
            <w:r>
              <w:rPr>
                <w:rFonts w:ascii="Times New Roman" w:hAnsi="Times New Roman" w:cs="Times New Roman"/>
                <w:szCs w:val="28"/>
              </w:rPr>
              <w:t xml:space="preserve"> – 2,</w:t>
            </w:r>
            <w:r w:rsidR="00F4591D">
              <w:rPr>
                <w:rFonts w:ascii="Times New Roman" w:hAnsi="Times New Roman" w:cs="Times New Roman"/>
                <w:szCs w:val="28"/>
              </w:rPr>
              <w:t>9</w:t>
            </w:r>
            <w:r>
              <w:rPr>
                <w:rFonts w:ascii="Times New Roman" w:hAnsi="Times New Roman" w:cs="Times New Roman"/>
                <w:szCs w:val="28"/>
              </w:rPr>
              <w:t xml:space="preserve"> балла, количество оцениваемых показателей 22 (по итогам за 2021 год занимало 3 место с оценкой – 3,6 балла).</w:t>
            </w:r>
          </w:p>
        </w:tc>
      </w:tr>
    </w:tbl>
    <w:p w:rsidR="001D7A8C" w:rsidRDefault="001D7A8C">
      <w:pPr>
        <w:pStyle w:val="ConsPlusNormal"/>
        <w:widowControl/>
        <w:ind w:firstLine="709"/>
        <w:jc w:val="both"/>
        <w:rPr>
          <w:rFonts w:ascii="Times New Roman" w:hAnsi="Times New Roman" w:cs="Times New Roman"/>
          <w:b/>
          <w:sz w:val="28"/>
          <w:szCs w:val="28"/>
        </w:rPr>
      </w:pPr>
    </w:p>
    <w:p w:rsidR="001D7A8C" w:rsidRDefault="003D37E5">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Средняя рейтинговая оценка по 1 группе составила 4,0 балла.</w:t>
      </w:r>
    </w:p>
    <w:p w:rsidR="002728F3" w:rsidRDefault="002728F3" w:rsidP="002728F3">
      <w:pPr>
        <w:pStyle w:val="ConsPlusNormal"/>
        <w:widowControl/>
        <w:ind w:firstLine="709"/>
        <w:jc w:val="both"/>
        <w:rPr>
          <w:rFonts w:ascii="Times New Roman" w:hAnsi="Times New Roman" w:cs="Times New Roman"/>
          <w:sz w:val="28"/>
          <w:szCs w:val="28"/>
          <w:lang w:val="en-US"/>
        </w:rPr>
      </w:pPr>
    </w:p>
    <w:p w:rsidR="002728F3" w:rsidRDefault="002728F3" w:rsidP="002728F3">
      <w:pPr>
        <w:pStyle w:val="ConsPlusNormal"/>
        <w:widowControl/>
        <w:ind w:firstLine="709"/>
        <w:jc w:val="both"/>
        <w:rPr>
          <w:rFonts w:ascii="Times New Roman" w:hAnsi="Times New Roman" w:cs="Times New Roman"/>
          <w:sz w:val="28"/>
          <w:szCs w:val="28"/>
        </w:rPr>
      </w:pPr>
      <w:r w:rsidRPr="00001494">
        <w:rPr>
          <w:rFonts w:ascii="Times New Roman" w:hAnsi="Times New Roman" w:cs="Times New Roman"/>
          <w:sz w:val="28"/>
          <w:szCs w:val="28"/>
        </w:rPr>
        <w:t xml:space="preserve">Во 2 группе </w:t>
      </w:r>
      <w:r>
        <w:rPr>
          <w:rFonts w:ascii="Times New Roman" w:hAnsi="Times New Roman" w:cs="Times New Roman"/>
          <w:sz w:val="28"/>
          <w:szCs w:val="28"/>
        </w:rPr>
        <w:t xml:space="preserve">два </w:t>
      </w:r>
      <w:r w:rsidRPr="00001494">
        <w:rPr>
          <w:rFonts w:ascii="Times New Roman" w:hAnsi="Times New Roman" w:cs="Times New Roman"/>
          <w:sz w:val="28"/>
          <w:szCs w:val="28"/>
        </w:rPr>
        <w:t>главны</w:t>
      </w:r>
      <w:r>
        <w:rPr>
          <w:rFonts w:ascii="Times New Roman" w:hAnsi="Times New Roman" w:cs="Times New Roman"/>
          <w:sz w:val="28"/>
          <w:szCs w:val="28"/>
        </w:rPr>
        <w:t>х</w:t>
      </w:r>
      <w:r w:rsidRPr="00001494">
        <w:rPr>
          <w:rFonts w:ascii="Times New Roman" w:hAnsi="Times New Roman" w:cs="Times New Roman"/>
          <w:sz w:val="28"/>
          <w:szCs w:val="28"/>
        </w:rPr>
        <w:t xml:space="preserve"> администратор</w:t>
      </w:r>
      <w:r>
        <w:rPr>
          <w:rFonts w:ascii="Times New Roman" w:hAnsi="Times New Roman" w:cs="Times New Roman"/>
          <w:sz w:val="28"/>
          <w:szCs w:val="28"/>
        </w:rPr>
        <w:t>а</w:t>
      </w:r>
      <w:r w:rsidRPr="00001494">
        <w:rPr>
          <w:rFonts w:ascii="Times New Roman" w:hAnsi="Times New Roman" w:cs="Times New Roman"/>
          <w:sz w:val="28"/>
          <w:szCs w:val="28"/>
        </w:rPr>
        <w:t xml:space="preserve">, не имеющие подведомственные учреждения, набрали одинаковое </w:t>
      </w:r>
      <w:r>
        <w:rPr>
          <w:rFonts w:ascii="Times New Roman" w:hAnsi="Times New Roman" w:cs="Times New Roman"/>
          <w:sz w:val="28"/>
          <w:szCs w:val="28"/>
        </w:rPr>
        <w:t>количество баллов 4</w:t>
      </w:r>
      <w:r w:rsidRPr="00001494">
        <w:rPr>
          <w:rFonts w:ascii="Times New Roman" w:hAnsi="Times New Roman" w:cs="Times New Roman"/>
          <w:sz w:val="28"/>
          <w:szCs w:val="28"/>
        </w:rPr>
        <w:t>,</w:t>
      </w:r>
      <w:r>
        <w:rPr>
          <w:rFonts w:ascii="Times New Roman" w:hAnsi="Times New Roman" w:cs="Times New Roman"/>
          <w:sz w:val="28"/>
          <w:szCs w:val="28"/>
        </w:rPr>
        <w:t>5</w:t>
      </w:r>
      <w:r w:rsidRPr="00001494">
        <w:rPr>
          <w:rFonts w:ascii="Times New Roman" w:hAnsi="Times New Roman" w:cs="Times New Roman"/>
          <w:sz w:val="28"/>
          <w:szCs w:val="28"/>
        </w:rPr>
        <w:t xml:space="preserve">. В соответствии с Порядком, если главные администраторы имеют одинаковую рейтинговую оценку качества финансового менеджмента, то при составлении рейтинга более высокая позиция присваивается тем главным администраторам, суммарная оценка качества финансового менеджмента которых определялась по наибольшему числу применимых показателей. </w:t>
      </w:r>
    </w:p>
    <w:p w:rsidR="001D7A8C" w:rsidRDefault="002728F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Так как у Минусинского городского Совета депутатов и</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 xml:space="preserve">онтрольно - счетной палаты города Минусинска одинаковый средний балл (4,5) и количество оцениваемых показателей одинаковое (11), рейтинг </w:t>
      </w:r>
      <w:r w:rsidR="003D37E5">
        <w:rPr>
          <w:rFonts w:ascii="Times New Roman" w:hAnsi="Times New Roman" w:cs="Times New Roman"/>
          <w:sz w:val="28"/>
          <w:szCs w:val="28"/>
        </w:rPr>
        <w:t xml:space="preserve">распределился следующим образом: </w:t>
      </w:r>
    </w:p>
    <w:tbl>
      <w:tblPr>
        <w:tblW w:w="0" w:type="auto"/>
        <w:tblInd w:w="-34" w:type="dxa"/>
        <w:tblLook w:val="04A0"/>
      </w:tblPr>
      <w:tblGrid>
        <w:gridCol w:w="1544"/>
        <w:gridCol w:w="8344"/>
      </w:tblGrid>
      <w:tr w:rsidR="001D7A8C">
        <w:tc>
          <w:tcPr>
            <w:tcW w:w="1557" w:type="dxa"/>
          </w:tcPr>
          <w:p w:rsidR="001D7A8C" w:rsidRDefault="003D37E5">
            <w:pPr>
              <w:ind w:left="-1418" w:firstLine="1418"/>
              <w:jc w:val="left"/>
              <w:rPr>
                <w:rFonts w:ascii="Times New Roman" w:hAnsi="Times New Roman" w:cs="Times New Roman"/>
                <w:szCs w:val="28"/>
              </w:rPr>
            </w:pPr>
            <w:r>
              <w:rPr>
                <w:rFonts w:ascii="Times New Roman" w:hAnsi="Times New Roman" w:cs="Times New Roman"/>
                <w:szCs w:val="28"/>
              </w:rPr>
              <w:t>1 место –</w:t>
            </w:r>
          </w:p>
        </w:tc>
        <w:tc>
          <w:tcPr>
            <w:tcW w:w="8472" w:type="dxa"/>
          </w:tcPr>
          <w:p w:rsidR="001D7A8C" w:rsidRDefault="003D37E5" w:rsidP="002728F3">
            <w:pPr>
              <w:rPr>
                <w:rFonts w:ascii="Times New Roman" w:hAnsi="Times New Roman" w:cs="Times New Roman"/>
                <w:szCs w:val="28"/>
              </w:rPr>
            </w:pPr>
            <w:r>
              <w:rPr>
                <w:rFonts w:ascii="Times New Roman" w:hAnsi="Times New Roman" w:cs="Times New Roman"/>
                <w:szCs w:val="28"/>
              </w:rPr>
              <w:t>Минусинский городской Совет депутатов – 4,</w:t>
            </w:r>
            <w:r w:rsidR="002728F3">
              <w:rPr>
                <w:rFonts w:ascii="Times New Roman" w:hAnsi="Times New Roman" w:cs="Times New Roman"/>
                <w:szCs w:val="28"/>
              </w:rPr>
              <w:t>5</w:t>
            </w:r>
            <w:r>
              <w:rPr>
                <w:rFonts w:ascii="Times New Roman" w:hAnsi="Times New Roman" w:cs="Times New Roman"/>
                <w:szCs w:val="28"/>
              </w:rPr>
              <w:t xml:space="preserve"> балла, колич</w:t>
            </w:r>
            <w:r w:rsidR="002728F3">
              <w:rPr>
                <w:rFonts w:ascii="Times New Roman" w:hAnsi="Times New Roman" w:cs="Times New Roman"/>
                <w:szCs w:val="28"/>
              </w:rPr>
              <w:t>ество оцениваемых показателей 11</w:t>
            </w:r>
            <w:r>
              <w:rPr>
                <w:rFonts w:ascii="Times New Roman" w:hAnsi="Times New Roman" w:cs="Times New Roman"/>
                <w:szCs w:val="28"/>
              </w:rPr>
              <w:t xml:space="preserve"> (по итогам за 2021 год занимало также 1 место с максимальным значением 5,0</w:t>
            </w:r>
            <w:bookmarkStart w:id="0" w:name="_GoBack"/>
            <w:bookmarkEnd w:id="0"/>
            <w:r>
              <w:rPr>
                <w:rFonts w:ascii="Times New Roman" w:hAnsi="Times New Roman" w:cs="Times New Roman"/>
                <w:szCs w:val="28"/>
              </w:rPr>
              <w:t xml:space="preserve"> баллов);</w:t>
            </w:r>
          </w:p>
        </w:tc>
      </w:tr>
      <w:tr w:rsidR="001D7A8C">
        <w:tc>
          <w:tcPr>
            <w:tcW w:w="1557" w:type="dxa"/>
          </w:tcPr>
          <w:p w:rsidR="001D7A8C" w:rsidRDefault="009D4F33">
            <w:pPr>
              <w:ind w:left="-1418" w:firstLine="1418"/>
              <w:jc w:val="left"/>
              <w:rPr>
                <w:rFonts w:ascii="Times New Roman" w:hAnsi="Times New Roman" w:cs="Times New Roman"/>
                <w:szCs w:val="28"/>
              </w:rPr>
            </w:pPr>
            <w:r>
              <w:rPr>
                <w:rFonts w:ascii="Times New Roman" w:hAnsi="Times New Roman" w:cs="Times New Roman"/>
                <w:szCs w:val="28"/>
                <w:lang w:val="en-US"/>
              </w:rPr>
              <w:t>1</w:t>
            </w:r>
            <w:r w:rsidR="003D37E5">
              <w:rPr>
                <w:rFonts w:ascii="Times New Roman" w:hAnsi="Times New Roman" w:cs="Times New Roman"/>
                <w:szCs w:val="28"/>
              </w:rPr>
              <w:t xml:space="preserve"> место</w:t>
            </w:r>
          </w:p>
        </w:tc>
        <w:tc>
          <w:tcPr>
            <w:tcW w:w="8472" w:type="dxa"/>
          </w:tcPr>
          <w:p w:rsidR="001D7A8C" w:rsidRDefault="003D37E5">
            <w:pPr>
              <w:rPr>
                <w:rFonts w:ascii="Times New Roman" w:hAnsi="Times New Roman" w:cs="Times New Roman"/>
                <w:szCs w:val="28"/>
              </w:rPr>
            </w:pPr>
            <w:r>
              <w:rPr>
                <w:rFonts w:ascii="Times New Roman" w:hAnsi="Times New Roman" w:cs="Times New Roman"/>
                <w:szCs w:val="28"/>
              </w:rPr>
              <w:t xml:space="preserve">Контрольно - счётная палата города Минусинска - 4,5 балла, количество оцениваемых показателей 11 (по итогам за 2021 год не </w:t>
            </w:r>
            <w:r>
              <w:rPr>
                <w:rFonts w:ascii="Times New Roman" w:hAnsi="Times New Roman" w:cs="Times New Roman"/>
                <w:szCs w:val="28"/>
              </w:rPr>
              <w:lastRenderedPageBreak/>
              <w:t>участвовала в проведении оценки качества финансового менеджмента, так как было создано в течение года);</w:t>
            </w:r>
          </w:p>
        </w:tc>
      </w:tr>
      <w:tr w:rsidR="001D7A8C">
        <w:tc>
          <w:tcPr>
            <w:tcW w:w="1557" w:type="dxa"/>
          </w:tcPr>
          <w:p w:rsidR="001D7A8C" w:rsidRDefault="009D4F33">
            <w:pPr>
              <w:jc w:val="left"/>
              <w:rPr>
                <w:rFonts w:ascii="Times New Roman" w:hAnsi="Times New Roman" w:cs="Times New Roman"/>
                <w:szCs w:val="28"/>
              </w:rPr>
            </w:pPr>
            <w:r>
              <w:rPr>
                <w:rFonts w:ascii="Times New Roman" w:hAnsi="Times New Roman" w:cs="Times New Roman"/>
                <w:szCs w:val="28"/>
                <w:lang w:val="en-US"/>
              </w:rPr>
              <w:lastRenderedPageBreak/>
              <w:t>2</w:t>
            </w:r>
            <w:r w:rsidR="003D37E5">
              <w:rPr>
                <w:rFonts w:ascii="Times New Roman" w:hAnsi="Times New Roman" w:cs="Times New Roman"/>
                <w:szCs w:val="28"/>
              </w:rPr>
              <w:t xml:space="preserve"> место –</w:t>
            </w:r>
          </w:p>
        </w:tc>
        <w:tc>
          <w:tcPr>
            <w:tcW w:w="8472" w:type="dxa"/>
          </w:tcPr>
          <w:p w:rsidR="001D7A8C" w:rsidRDefault="003D37E5">
            <w:pPr>
              <w:rPr>
                <w:rFonts w:ascii="Times New Roman" w:hAnsi="Times New Roman" w:cs="Times New Roman"/>
                <w:szCs w:val="28"/>
              </w:rPr>
            </w:pPr>
            <w:r>
              <w:rPr>
                <w:rFonts w:ascii="Times New Roman" w:hAnsi="Times New Roman" w:cs="Times New Roman"/>
                <w:szCs w:val="28"/>
              </w:rPr>
              <w:t>Финансовое управление администрации города Минусинска – 4,2 балла, количество оцениваемых показателей 12 (по итогам за 2021 год занимало 2 место с максимальным значением 5 баллов).</w:t>
            </w:r>
          </w:p>
        </w:tc>
      </w:tr>
    </w:tbl>
    <w:p w:rsidR="001D7A8C" w:rsidRDefault="001D7A8C">
      <w:pPr>
        <w:pStyle w:val="ConsPlusNormal"/>
        <w:widowControl/>
        <w:ind w:firstLine="709"/>
        <w:jc w:val="both"/>
        <w:rPr>
          <w:rFonts w:ascii="Times New Roman" w:hAnsi="Times New Roman" w:cs="Times New Roman"/>
          <w:b/>
          <w:sz w:val="28"/>
          <w:szCs w:val="28"/>
        </w:rPr>
      </w:pPr>
    </w:p>
    <w:p w:rsidR="001D7A8C" w:rsidRDefault="003D37E5">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Средняя рейтинговая оценка по 2 группе составила 4,4 балла.</w:t>
      </w:r>
    </w:p>
    <w:p w:rsidR="001D7A8C" w:rsidRDefault="001D7A8C">
      <w:pPr>
        <w:pStyle w:val="ConsPlusNormal"/>
        <w:widowControl/>
        <w:ind w:firstLine="709"/>
        <w:jc w:val="both"/>
        <w:rPr>
          <w:rFonts w:ascii="Times New Roman" w:hAnsi="Times New Roman" w:cs="Times New Roman"/>
          <w:b/>
          <w:sz w:val="28"/>
          <w:szCs w:val="28"/>
        </w:rPr>
      </w:pPr>
    </w:p>
    <w:p w:rsidR="001D7A8C" w:rsidRDefault="003D37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rPr>
        <w:t>Целевым значением показателей качества финансового менеджмента главного администратора является 3 балла</w:t>
      </w:r>
      <w:r>
        <w:rPr>
          <w:rFonts w:ascii="Times New Roman" w:hAnsi="Times New Roman" w:cs="Times New Roman"/>
          <w:sz w:val="28"/>
          <w:szCs w:val="28"/>
        </w:rPr>
        <w:t>.</w:t>
      </w:r>
    </w:p>
    <w:p w:rsidR="001D7A8C" w:rsidRDefault="003D37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мониторинга качества финансового менеджмента выявлено четыре показателя, средняя оценка по которым по всем главным администраторам меньше целевого показателя: </w:t>
      </w:r>
    </w:p>
    <w:p w:rsidR="001D7A8C" w:rsidRDefault="003D37E5">
      <w:pPr>
        <w:pStyle w:val="ConsPlusNormal"/>
        <w:widowControl/>
        <w:numPr>
          <w:ilvl w:val="0"/>
          <w:numId w:val="2"/>
        </w:numPr>
        <w:tabs>
          <w:tab w:val="left" w:pos="426"/>
        </w:tabs>
        <w:jc w:val="both"/>
        <w:rPr>
          <w:rFonts w:ascii="Times New Roman" w:hAnsi="Times New Roman" w:cs="Times New Roman"/>
          <w:sz w:val="28"/>
          <w:szCs w:val="28"/>
        </w:rPr>
      </w:pPr>
      <w:r>
        <w:rPr>
          <w:rFonts w:ascii="Times New Roman" w:hAnsi="Times New Roman" w:cs="Times New Roman"/>
          <w:sz w:val="28"/>
          <w:szCs w:val="28"/>
        </w:rPr>
        <w:t>«Р</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Соблюдение сроков представления главным администратором фрагмента реестра расходного обязательства, уточнённого реестра расходного обязательства» (0,0 баллов). </w:t>
      </w:r>
    </w:p>
    <w:p w:rsidR="001D7A8C" w:rsidRDefault="003D37E5">
      <w:pPr>
        <w:pStyle w:val="ConsPlusNormal"/>
        <w:widowControl/>
        <w:numPr>
          <w:ilvl w:val="0"/>
          <w:numId w:val="2"/>
        </w:numPr>
        <w:tabs>
          <w:tab w:val="left" w:pos="426"/>
        </w:tabs>
        <w:jc w:val="both"/>
        <w:rPr>
          <w:rFonts w:ascii="Times New Roman" w:hAnsi="Times New Roman" w:cs="Times New Roman"/>
          <w:sz w:val="28"/>
          <w:szCs w:val="28"/>
        </w:rPr>
      </w:pPr>
      <w:r>
        <w:rPr>
          <w:rFonts w:ascii="Times New Roman" w:hAnsi="Times New Roman" w:cs="Times New Roman"/>
          <w:sz w:val="28"/>
          <w:szCs w:val="28"/>
        </w:rPr>
        <w:t>«Р3. Качество кассового планирования расходов бюджета города главными администраторами» (1 балл);</w:t>
      </w:r>
    </w:p>
    <w:p w:rsidR="001D7A8C" w:rsidRDefault="003D37E5">
      <w:pPr>
        <w:pStyle w:val="ConsPlusNormal"/>
        <w:widowControl/>
        <w:numPr>
          <w:ilvl w:val="0"/>
          <w:numId w:val="2"/>
        </w:numPr>
        <w:tabs>
          <w:tab w:val="left" w:pos="426"/>
        </w:tabs>
        <w:jc w:val="both"/>
        <w:rPr>
          <w:rFonts w:ascii="Times New Roman" w:hAnsi="Times New Roman"/>
          <w:sz w:val="28"/>
          <w:szCs w:val="28"/>
        </w:rPr>
      </w:pPr>
      <w:r>
        <w:rPr>
          <w:rFonts w:ascii="Times New Roman" w:hAnsi="Times New Roman" w:cs="Times New Roman"/>
          <w:sz w:val="28"/>
          <w:szCs w:val="28"/>
        </w:rPr>
        <w:t xml:space="preserve">«Р5. </w:t>
      </w:r>
      <w:r>
        <w:rPr>
          <w:rFonts w:ascii="Times New Roman" w:hAnsi="Times New Roman"/>
          <w:sz w:val="28"/>
          <w:szCs w:val="28"/>
        </w:rPr>
        <w:t>Исполнение прогноза поступления доходов бюджета города (за исключением безвозмездных поступлений) по итогам отчётного финансового года по главному администратору доходов бюджета города» (2,5 балла).</w:t>
      </w:r>
    </w:p>
    <w:p w:rsidR="001D7A8C" w:rsidRDefault="003D37E5">
      <w:pPr>
        <w:pStyle w:val="ConsPlusNormal"/>
        <w:numPr>
          <w:ilvl w:val="0"/>
          <w:numId w:val="2"/>
        </w:numPr>
        <w:tabs>
          <w:tab w:val="left" w:pos="426"/>
        </w:tabs>
        <w:jc w:val="both"/>
        <w:rPr>
          <w:rFonts w:ascii="Times New Roman" w:hAnsi="Times New Roman" w:cs="Times New Roman"/>
          <w:sz w:val="28"/>
          <w:szCs w:val="28"/>
        </w:rPr>
      </w:pPr>
      <w:r>
        <w:rPr>
          <w:rFonts w:ascii="Times New Roman" w:hAnsi="Times New Roman" w:cs="Times New Roman"/>
          <w:sz w:val="28"/>
          <w:szCs w:val="28"/>
        </w:rPr>
        <w:t>«Р16. Доля контрольных мероприятий, проведённых органами внешнего и внутреннего муниципального финансового контроля в отчётном финансовом году, в ходе которых выявлены бюджетные нарушения» (2,5 балла).</w:t>
      </w:r>
    </w:p>
    <w:p w:rsidR="001D7A8C" w:rsidRDefault="001D7A8C">
      <w:pPr>
        <w:pStyle w:val="ConsPlusNormal"/>
        <w:widowControl/>
        <w:jc w:val="both"/>
        <w:rPr>
          <w:rFonts w:ascii="Times New Roman" w:hAnsi="Times New Roman" w:cs="Times New Roman"/>
          <w:sz w:val="28"/>
          <w:szCs w:val="28"/>
        </w:rPr>
      </w:pPr>
    </w:p>
    <w:p w:rsidR="001D7A8C" w:rsidRDefault="003D37E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Максимальное среднее значение оценки по всем главным администраторам (5 баллов) по десяти показателям:</w:t>
      </w:r>
    </w:p>
    <w:p w:rsidR="001D7A8C" w:rsidRDefault="003D37E5">
      <w:pPr>
        <w:pStyle w:val="ConsPlusNormal"/>
        <w:widowControl/>
        <w:numPr>
          <w:ilvl w:val="0"/>
          <w:numId w:val="2"/>
        </w:numPr>
        <w:tabs>
          <w:tab w:val="left" w:pos="426"/>
          <w:tab w:val="left" w:pos="1560"/>
        </w:tabs>
        <w:jc w:val="both"/>
        <w:rPr>
          <w:rFonts w:ascii="Times New Roman" w:hAnsi="Times New Roman" w:cs="Times New Roman"/>
          <w:sz w:val="28"/>
          <w:szCs w:val="28"/>
        </w:rPr>
      </w:pPr>
      <w:r>
        <w:rPr>
          <w:rFonts w:ascii="Times New Roman" w:hAnsi="Times New Roman" w:cs="Times New Roman"/>
          <w:sz w:val="28"/>
          <w:szCs w:val="28"/>
        </w:rPr>
        <w:t>«Р</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Своевременность разработки нормативных правовых актов, договоров и соглашений города Минусинска, формирующих расходные обязательства города Минусинска»;</w:t>
      </w:r>
    </w:p>
    <w:p w:rsidR="001D7A8C" w:rsidRDefault="003D37E5">
      <w:pPr>
        <w:pStyle w:val="ConsPlusNormal"/>
        <w:widowControl/>
        <w:numPr>
          <w:ilvl w:val="0"/>
          <w:numId w:val="2"/>
        </w:numPr>
        <w:tabs>
          <w:tab w:val="left" w:pos="426"/>
          <w:tab w:val="left" w:pos="1560"/>
        </w:tabs>
        <w:jc w:val="both"/>
        <w:rPr>
          <w:rFonts w:ascii="Times New Roman" w:hAnsi="Times New Roman" w:cs="Times New Roman"/>
          <w:sz w:val="28"/>
          <w:szCs w:val="28"/>
        </w:rPr>
      </w:pPr>
      <w:r>
        <w:rPr>
          <w:rFonts w:ascii="Times New Roman" w:hAnsi="Times New Roman" w:cs="Times New Roman"/>
          <w:sz w:val="28"/>
          <w:szCs w:val="28"/>
        </w:rPr>
        <w:t>«Р</w:t>
      </w:r>
      <w:proofErr w:type="gramStart"/>
      <w:r>
        <w:rPr>
          <w:rFonts w:ascii="Times New Roman" w:hAnsi="Times New Roman" w:cs="Times New Roman"/>
          <w:sz w:val="28"/>
          <w:szCs w:val="28"/>
        </w:rPr>
        <w:t>7</w:t>
      </w:r>
      <w:proofErr w:type="gramEnd"/>
      <w:r>
        <w:rPr>
          <w:rFonts w:ascii="Times New Roman" w:hAnsi="Times New Roman" w:cs="Times New Roman"/>
          <w:sz w:val="28"/>
          <w:szCs w:val="28"/>
        </w:rPr>
        <w:t>. Взаимодействие с Государственной информационной системой о государственных и муниципальных платежах (далее – ГИС ГМП)»;</w:t>
      </w:r>
    </w:p>
    <w:p w:rsidR="001D7A8C" w:rsidRDefault="003D37E5">
      <w:pPr>
        <w:pStyle w:val="ConsPlusNormal"/>
        <w:widowControl/>
        <w:numPr>
          <w:ilvl w:val="0"/>
          <w:numId w:val="2"/>
        </w:numPr>
        <w:tabs>
          <w:tab w:val="left" w:pos="426"/>
          <w:tab w:val="left" w:pos="1560"/>
        </w:tabs>
        <w:jc w:val="both"/>
        <w:rPr>
          <w:rFonts w:ascii="Times New Roman" w:hAnsi="Times New Roman" w:cs="Times New Roman"/>
          <w:sz w:val="28"/>
          <w:szCs w:val="28"/>
        </w:rPr>
      </w:pPr>
      <w:r>
        <w:rPr>
          <w:rFonts w:ascii="Times New Roman" w:hAnsi="Times New Roman" w:cs="Times New Roman"/>
          <w:sz w:val="28"/>
          <w:szCs w:val="28"/>
        </w:rPr>
        <w:t>«Р13. Соблюдение сроков представления главным администратором годовой бюджетной отчётности»;</w:t>
      </w:r>
    </w:p>
    <w:p w:rsidR="001D7A8C" w:rsidRDefault="003D37E5">
      <w:pPr>
        <w:pStyle w:val="ConsPlusNormal"/>
        <w:widowControl/>
        <w:numPr>
          <w:ilvl w:val="0"/>
          <w:numId w:val="2"/>
        </w:numPr>
        <w:tabs>
          <w:tab w:val="left" w:pos="426"/>
          <w:tab w:val="left" w:pos="1560"/>
        </w:tabs>
        <w:jc w:val="both"/>
        <w:rPr>
          <w:rFonts w:ascii="Times New Roman" w:hAnsi="Times New Roman" w:cs="Times New Roman"/>
          <w:sz w:val="28"/>
          <w:szCs w:val="28"/>
        </w:rPr>
      </w:pPr>
      <w:r>
        <w:rPr>
          <w:rFonts w:ascii="Times New Roman" w:hAnsi="Times New Roman" w:cs="Times New Roman"/>
          <w:sz w:val="28"/>
          <w:szCs w:val="28"/>
        </w:rPr>
        <w:t xml:space="preserve">«Р14. </w:t>
      </w:r>
      <w:r>
        <w:rPr>
          <w:rFonts w:ascii="Times New Roman" w:hAnsi="Times New Roman"/>
          <w:sz w:val="28"/>
          <w:szCs w:val="28"/>
        </w:rPr>
        <w:t>Наличие несоответствий бюджетной отчётности  главных администраторов требованиям к её составлению и представлению»;</w:t>
      </w:r>
    </w:p>
    <w:p w:rsidR="001D7A8C" w:rsidRDefault="003D37E5">
      <w:pPr>
        <w:pStyle w:val="ConsPlusNormal"/>
        <w:widowControl/>
        <w:numPr>
          <w:ilvl w:val="0"/>
          <w:numId w:val="2"/>
        </w:numPr>
        <w:tabs>
          <w:tab w:val="left" w:pos="426"/>
          <w:tab w:val="left" w:pos="1560"/>
        </w:tabs>
        <w:jc w:val="both"/>
        <w:rPr>
          <w:rFonts w:ascii="Times New Roman" w:hAnsi="Times New Roman"/>
          <w:sz w:val="28"/>
          <w:szCs w:val="28"/>
        </w:rPr>
      </w:pPr>
      <w:r>
        <w:rPr>
          <w:rFonts w:ascii="Times New Roman" w:hAnsi="Times New Roman"/>
          <w:sz w:val="28"/>
          <w:szCs w:val="28"/>
        </w:rPr>
        <w:t xml:space="preserve">«Р15. Проведение мониторинга качества финансового менеджмента в отношении подведомственных главным администраторам получателей бюджетных средств, администраторов доходов бюджета города, администраторов источников финансирования дефицита бюджета города, наличие и публикация рейтинга результатов их деятельности в сети </w:t>
      </w:r>
      <w:r>
        <w:rPr>
          <w:rFonts w:ascii="Times New Roman" w:hAnsi="Times New Roman"/>
          <w:sz w:val="28"/>
          <w:szCs w:val="28"/>
        </w:rPr>
        <w:lastRenderedPageBreak/>
        <w:t xml:space="preserve">Интернет, и (или) наличие отчёта о результатах проведённого мониторинга качества финансового менеджмента»; </w:t>
      </w:r>
    </w:p>
    <w:p w:rsidR="001D7A8C" w:rsidRDefault="003D37E5">
      <w:pPr>
        <w:pStyle w:val="ConsPlusNormal"/>
        <w:widowControl/>
        <w:numPr>
          <w:ilvl w:val="0"/>
          <w:numId w:val="2"/>
        </w:numPr>
        <w:tabs>
          <w:tab w:val="left" w:pos="426"/>
          <w:tab w:val="left" w:pos="1560"/>
        </w:tabs>
        <w:jc w:val="both"/>
        <w:rPr>
          <w:rFonts w:ascii="Times New Roman" w:hAnsi="Times New Roman" w:cs="Times New Roman"/>
          <w:sz w:val="28"/>
          <w:szCs w:val="28"/>
        </w:rPr>
      </w:pPr>
      <w:r>
        <w:rPr>
          <w:rFonts w:ascii="Times New Roman" w:hAnsi="Times New Roman" w:cs="Times New Roman"/>
          <w:sz w:val="28"/>
          <w:szCs w:val="28"/>
        </w:rPr>
        <w:t xml:space="preserve">«Р18. </w:t>
      </w:r>
      <w:proofErr w:type="gramStart"/>
      <w:r>
        <w:rPr>
          <w:rFonts w:ascii="Times New Roman" w:hAnsi="Times New Roman" w:cs="Times New Roman"/>
          <w:sz w:val="28"/>
          <w:szCs w:val="28"/>
        </w:rPr>
        <w:t xml:space="preserve">Размещение в полном объёме подведомственными главному администратору учреждениями на официальном сайте в сети Интернет </w:t>
      </w:r>
      <w:proofErr w:type="spellStart"/>
      <w:r>
        <w:rPr>
          <w:rFonts w:ascii="Times New Roman" w:hAnsi="Times New Roman" w:cs="Times New Roman"/>
          <w:sz w:val="28"/>
          <w:szCs w:val="28"/>
        </w:rPr>
        <w:t>www.bus.gov.ru</w:t>
      </w:r>
      <w:proofErr w:type="spellEnd"/>
      <w:r>
        <w:rPr>
          <w:rFonts w:ascii="Times New Roman" w:hAnsi="Times New Roman" w:cs="Times New Roman"/>
          <w:sz w:val="28"/>
          <w:szCs w:val="28"/>
        </w:rPr>
        <w:t xml:space="preserve"> информации, предусмотренной разделами I – VI, VIII приложения к Порядку предоставления информации муниципальным учреждением, её размещения на официальном сайте в сети Интернет и ведения указанного сайта, утверждённому приказом Министерства финансов Российской Федерации от 21.07.2011 № 86н, по состоянию на 15 марта текущего года»;</w:t>
      </w:r>
      <w:proofErr w:type="gramEnd"/>
    </w:p>
    <w:p w:rsidR="001D7A8C" w:rsidRDefault="003D37E5">
      <w:pPr>
        <w:pStyle w:val="ConsPlusNormal"/>
        <w:widowControl/>
        <w:numPr>
          <w:ilvl w:val="0"/>
          <w:numId w:val="2"/>
        </w:numPr>
        <w:tabs>
          <w:tab w:val="left" w:pos="426"/>
          <w:tab w:val="left" w:pos="1560"/>
        </w:tabs>
        <w:jc w:val="both"/>
        <w:rPr>
          <w:rFonts w:ascii="Times New Roman" w:hAnsi="Times New Roman" w:cs="Times New Roman"/>
          <w:sz w:val="28"/>
          <w:szCs w:val="28"/>
        </w:rPr>
      </w:pPr>
      <w:r>
        <w:rPr>
          <w:rFonts w:ascii="Times New Roman" w:hAnsi="Times New Roman" w:cs="Times New Roman"/>
          <w:sz w:val="28"/>
          <w:szCs w:val="28"/>
        </w:rPr>
        <w:t xml:space="preserve">«Р19. </w:t>
      </w:r>
      <w:proofErr w:type="gramStart"/>
      <w:r>
        <w:rPr>
          <w:rFonts w:ascii="Times New Roman" w:hAnsi="Times New Roman" w:cs="Times New Roman"/>
          <w:sz w:val="28"/>
          <w:szCs w:val="28"/>
        </w:rPr>
        <w:t>Доля остатков средств субсидий на иные цели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города, предоставляемых муниципальным бюджетным и автономным учреждениям, подведомственным главному администратору, к общему объёму бюджетных ассигнований на предоставление субсидий на иные цели и субсидий на капитальные вложения»;</w:t>
      </w:r>
      <w:proofErr w:type="gramEnd"/>
    </w:p>
    <w:p w:rsidR="001D7A8C" w:rsidRDefault="003D37E5">
      <w:pPr>
        <w:pStyle w:val="ConsPlusNormal"/>
        <w:widowControl/>
        <w:numPr>
          <w:ilvl w:val="0"/>
          <w:numId w:val="2"/>
        </w:numPr>
        <w:tabs>
          <w:tab w:val="left" w:pos="426"/>
          <w:tab w:val="left" w:pos="1560"/>
        </w:tabs>
        <w:jc w:val="both"/>
        <w:rPr>
          <w:rFonts w:ascii="Times New Roman" w:hAnsi="Times New Roman" w:cs="Times New Roman"/>
          <w:sz w:val="28"/>
          <w:szCs w:val="28"/>
        </w:rPr>
      </w:pPr>
      <w:r>
        <w:rPr>
          <w:rFonts w:ascii="Times New Roman" w:hAnsi="Times New Roman" w:cs="Times New Roman"/>
          <w:sz w:val="28"/>
          <w:szCs w:val="28"/>
        </w:rPr>
        <w:t>«Р20. Оценка использования бюджетных средств подведомственными главному администратору учреждениями на выполнение муниципального задания»;</w:t>
      </w:r>
    </w:p>
    <w:p w:rsidR="001D7A8C" w:rsidRDefault="003D37E5">
      <w:pPr>
        <w:pStyle w:val="ConsPlusNormal"/>
        <w:widowControl/>
        <w:numPr>
          <w:ilvl w:val="0"/>
          <w:numId w:val="2"/>
        </w:numPr>
        <w:tabs>
          <w:tab w:val="left" w:pos="426"/>
          <w:tab w:val="left" w:pos="1560"/>
        </w:tabs>
        <w:jc w:val="both"/>
        <w:rPr>
          <w:rFonts w:ascii="Times New Roman" w:hAnsi="Times New Roman" w:cs="Times New Roman"/>
          <w:sz w:val="28"/>
          <w:szCs w:val="28"/>
        </w:rPr>
      </w:pPr>
      <w:r>
        <w:rPr>
          <w:rFonts w:ascii="Times New Roman" w:hAnsi="Times New Roman" w:cs="Times New Roman"/>
          <w:sz w:val="28"/>
          <w:szCs w:val="28"/>
        </w:rPr>
        <w:t>«Р21. Доля отклонений фактических значений показателей муниципальных  заданий на оказание услуг (выполнение работ) в отчётном финансовом году от плановых значений»;</w:t>
      </w:r>
    </w:p>
    <w:p w:rsidR="001D7A8C" w:rsidRDefault="003D37E5">
      <w:pPr>
        <w:pStyle w:val="ConsPlusNormal"/>
        <w:widowControl/>
        <w:numPr>
          <w:ilvl w:val="0"/>
          <w:numId w:val="2"/>
        </w:numPr>
        <w:tabs>
          <w:tab w:val="left" w:pos="426"/>
          <w:tab w:val="left" w:pos="1560"/>
        </w:tabs>
        <w:jc w:val="both"/>
        <w:rPr>
          <w:rFonts w:ascii="Times New Roman" w:hAnsi="Times New Roman" w:cs="Times New Roman"/>
          <w:sz w:val="28"/>
          <w:szCs w:val="28"/>
        </w:rPr>
      </w:pPr>
      <w:r>
        <w:rPr>
          <w:rFonts w:ascii="Times New Roman" w:hAnsi="Times New Roman" w:cs="Times New Roman"/>
          <w:sz w:val="28"/>
          <w:szCs w:val="28"/>
        </w:rPr>
        <w:t>«Р22. Отсутствие фактов недостач и хищений материальных ценностей, допущенных в отчётном финансовом году».</w:t>
      </w:r>
    </w:p>
    <w:p w:rsidR="001D7A8C" w:rsidRDefault="001D7A8C">
      <w:pPr>
        <w:pStyle w:val="ConsPlusNormal"/>
        <w:widowControl/>
        <w:tabs>
          <w:tab w:val="left" w:pos="426"/>
          <w:tab w:val="left" w:pos="1560"/>
        </w:tabs>
        <w:ind w:left="720" w:firstLine="0"/>
        <w:jc w:val="both"/>
        <w:rPr>
          <w:rFonts w:ascii="Times New Roman" w:hAnsi="Times New Roman" w:cs="Times New Roman"/>
          <w:sz w:val="28"/>
          <w:szCs w:val="28"/>
        </w:rPr>
      </w:pPr>
    </w:p>
    <w:p w:rsidR="001D7A8C" w:rsidRDefault="003D37E5">
      <w:pPr>
        <w:pStyle w:val="ConsPlusNormal"/>
        <w:widowControl/>
        <w:tabs>
          <w:tab w:val="left" w:pos="426"/>
        </w:tabs>
        <w:ind w:firstLine="709"/>
        <w:jc w:val="both"/>
        <w:rPr>
          <w:rFonts w:ascii="Times New Roman" w:hAnsi="Times New Roman"/>
          <w:sz w:val="28"/>
          <w:szCs w:val="28"/>
        </w:rPr>
      </w:pPr>
      <w:r>
        <w:rPr>
          <w:rFonts w:ascii="Times New Roman" w:hAnsi="Times New Roman" w:cs="Times New Roman"/>
          <w:sz w:val="28"/>
          <w:szCs w:val="28"/>
        </w:rPr>
        <w:t xml:space="preserve">Мониторинг качества финансового менеджмента </w:t>
      </w:r>
      <w:r>
        <w:rPr>
          <w:rFonts w:ascii="Times New Roman" w:hAnsi="Times New Roman"/>
          <w:sz w:val="28"/>
          <w:szCs w:val="28"/>
        </w:rPr>
        <w:t xml:space="preserve">главных администраторов </w:t>
      </w:r>
      <w:r>
        <w:rPr>
          <w:rFonts w:ascii="Times New Roman" w:hAnsi="Times New Roman" w:cs="Times New Roman"/>
          <w:sz w:val="28"/>
          <w:szCs w:val="28"/>
        </w:rPr>
        <w:t xml:space="preserve">за 2022 год </w:t>
      </w:r>
      <w:r>
        <w:rPr>
          <w:rFonts w:ascii="Times New Roman" w:hAnsi="Times New Roman"/>
          <w:sz w:val="28"/>
          <w:szCs w:val="28"/>
        </w:rPr>
        <w:t xml:space="preserve">осуществлялся на основании данных бюджетной отчётности главных администраторов, информации, имеющейся в финансовом управлении администрации города Минусинска, общедоступных (размещённых на официальных сайтах в информационно - телекоммуникационной сети «Интернет») сведений, а также информации, предоставленной главными администраторами в соответствии с Порядком. </w:t>
      </w:r>
    </w:p>
    <w:p w:rsidR="001D7A8C" w:rsidRPr="003D37E5" w:rsidRDefault="003D37E5">
      <w:pPr>
        <w:pStyle w:val="ConsPlusNormal"/>
        <w:widowControl/>
        <w:tabs>
          <w:tab w:val="left" w:pos="426"/>
        </w:tabs>
        <w:ind w:firstLine="709"/>
        <w:jc w:val="both"/>
        <w:rPr>
          <w:rFonts w:ascii="Times New Roman" w:hAnsi="Times New Roman" w:cs="Times New Roman"/>
          <w:sz w:val="28"/>
          <w:szCs w:val="28"/>
        </w:rPr>
      </w:pPr>
      <w:r w:rsidRPr="003D37E5">
        <w:rPr>
          <w:rFonts w:ascii="Times New Roman" w:hAnsi="Times New Roman" w:cs="Times New Roman"/>
          <w:sz w:val="28"/>
          <w:szCs w:val="28"/>
        </w:rPr>
        <w:t xml:space="preserve">При этом отмечается, что всеми главными администраторами, не предоставлена информация согласно приложению 1 к Порядку «Информация для проведения </w:t>
      </w:r>
      <w:proofErr w:type="gramStart"/>
      <w:r w:rsidRPr="003D37E5">
        <w:rPr>
          <w:rFonts w:ascii="Times New Roman" w:hAnsi="Times New Roman" w:cs="Times New Roman"/>
          <w:sz w:val="28"/>
          <w:szCs w:val="28"/>
        </w:rPr>
        <w:t>мониторинга качества финансового менеджмента главных распорядителей средств бюджета</w:t>
      </w:r>
      <w:proofErr w:type="gramEnd"/>
      <w:r w:rsidRPr="003D37E5">
        <w:rPr>
          <w:rFonts w:ascii="Times New Roman" w:hAnsi="Times New Roman" w:cs="Times New Roman"/>
          <w:sz w:val="28"/>
          <w:szCs w:val="28"/>
        </w:rPr>
        <w:t xml:space="preserve"> города, главных администраторов доходов бюджета города, главных администраторов источников финансирования дефицита бюджета города», что затрудняет проведения мониторинга качества финансового менеджмента. </w:t>
      </w:r>
    </w:p>
    <w:p w:rsidR="001D7A8C" w:rsidRDefault="003D37E5">
      <w:pPr>
        <w:pStyle w:val="ConsPlusNormal"/>
        <w:widowControl/>
        <w:tabs>
          <w:tab w:val="left" w:pos="426"/>
        </w:tabs>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Соответствующая информация о результатах оценки доведена </w:t>
      </w:r>
      <w:r>
        <w:rPr>
          <w:rFonts w:ascii="Times New Roman" w:hAnsi="Times New Roman" w:cs="Times New Roman"/>
          <w:sz w:val="28"/>
          <w:szCs w:val="28"/>
        </w:rPr>
        <w:br/>
        <w:t>до сведения главных администраторов.</w:t>
      </w:r>
    </w:p>
    <w:p w:rsidR="001D7A8C" w:rsidRDefault="003D37E5" w:rsidP="00794D9B">
      <w:pPr>
        <w:pStyle w:val="ConsPlusNormal"/>
        <w:widowControl/>
        <w:ind w:firstLine="709"/>
        <w:contextualSpacing/>
        <w:jc w:val="both"/>
        <w:rPr>
          <w:rFonts w:ascii="Times New Roman" w:hAnsi="Times New Roman" w:cs="Times New Roman"/>
        </w:rPr>
      </w:pPr>
      <w:r>
        <w:rPr>
          <w:rFonts w:ascii="Times New Roman" w:hAnsi="Times New Roman" w:cs="Times New Roman"/>
          <w:sz w:val="28"/>
          <w:szCs w:val="28"/>
        </w:rPr>
        <w:t>Приложение: рейтинг главных администраторов по группам на 2 листах.</w:t>
      </w:r>
    </w:p>
    <w:sectPr w:rsidR="001D7A8C" w:rsidSect="001D7A8C">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8F3" w:rsidRDefault="002728F3">
      <w:r>
        <w:separator/>
      </w:r>
    </w:p>
  </w:endnote>
  <w:endnote w:type="continuationSeparator" w:id="0">
    <w:p w:rsidR="002728F3" w:rsidRDefault="00272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8F3" w:rsidRDefault="002728F3">
      <w:r>
        <w:separator/>
      </w:r>
    </w:p>
  </w:footnote>
  <w:footnote w:type="continuationSeparator" w:id="0">
    <w:p w:rsidR="002728F3" w:rsidRDefault="00272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520032"/>
      <w:docPartObj>
        <w:docPartGallery w:val="AutoText"/>
      </w:docPartObj>
    </w:sdtPr>
    <w:sdtContent>
      <w:p w:rsidR="002728F3" w:rsidRDefault="002728F3">
        <w:pPr>
          <w:pStyle w:val="a3"/>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F4591D">
          <w:rPr>
            <w:rFonts w:ascii="Times New Roman" w:hAnsi="Times New Roman"/>
            <w:noProof/>
          </w:rPr>
          <w:t>2</w:t>
        </w:r>
        <w:r>
          <w:rPr>
            <w:rFonts w:ascii="Times New Roman" w:hAnsi="Times New Roman"/>
          </w:rPr>
          <w:fldChar w:fldCharType="end"/>
        </w:r>
      </w:p>
    </w:sdtContent>
  </w:sdt>
  <w:p w:rsidR="002728F3" w:rsidRDefault="002728F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91CCE"/>
    <w:multiLevelType w:val="multilevel"/>
    <w:tmpl w:val="1D591CC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6B3177C6"/>
    <w:multiLevelType w:val="multilevel"/>
    <w:tmpl w:val="6B3177C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7C1159"/>
    <w:rsid w:val="00001494"/>
    <w:rsid w:val="000120D0"/>
    <w:rsid w:val="00015037"/>
    <w:rsid w:val="0007086B"/>
    <w:rsid w:val="0009432E"/>
    <w:rsid w:val="000C29EB"/>
    <w:rsid w:val="000C6CEF"/>
    <w:rsid w:val="000C75E7"/>
    <w:rsid w:val="000F37C1"/>
    <w:rsid w:val="00116BA8"/>
    <w:rsid w:val="00116E72"/>
    <w:rsid w:val="00143636"/>
    <w:rsid w:val="00146BA4"/>
    <w:rsid w:val="00182487"/>
    <w:rsid w:val="00182C72"/>
    <w:rsid w:val="001D7A8C"/>
    <w:rsid w:val="002467AD"/>
    <w:rsid w:val="002728F3"/>
    <w:rsid w:val="003419C4"/>
    <w:rsid w:val="00356994"/>
    <w:rsid w:val="00380950"/>
    <w:rsid w:val="003845BF"/>
    <w:rsid w:val="003912C2"/>
    <w:rsid w:val="003A04D9"/>
    <w:rsid w:val="003B7276"/>
    <w:rsid w:val="003D37E5"/>
    <w:rsid w:val="003E5674"/>
    <w:rsid w:val="00402245"/>
    <w:rsid w:val="004151BF"/>
    <w:rsid w:val="004212B2"/>
    <w:rsid w:val="00474554"/>
    <w:rsid w:val="00503D1F"/>
    <w:rsid w:val="00520990"/>
    <w:rsid w:val="00592BD9"/>
    <w:rsid w:val="005A5AEB"/>
    <w:rsid w:val="005D4E24"/>
    <w:rsid w:val="005D60EA"/>
    <w:rsid w:val="00673410"/>
    <w:rsid w:val="00675AF3"/>
    <w:rsid w:val="00685E9C"/>
    <w:rsid w:val="006B3B92"/>
    <w:rsid w:val="006F6E95"/>
    <w:rsid w:val="0070237C"/>
    <w:rsid w:val="0071077F"/>
    <w:rsid w:val="00745F2C"/>
    <w:rsid w:val="00757CE8"/>
    <w:rsid w:val="00767295"/>
    <w:rsid w:val="00794D9B"/>
    <w:rsid w:val="007C1159"/>
    <w:rsid w:val="007D2172"/>
    <w:rsid w:val="007E299E"/>
    <w:rsid w:val="007F1409"/>
    <w:rsid w:val="008070A8"/>
    <w:rsid w:val="00815BDA"/>
    <w:rsid w:val="00827A71"/>
    <w:rsid w:val="0084466B"/>
    <w:rsid w:val="00845339"/>
    <w:rsid w:val="00881827"/>
    <w:rsid w:val="009406C8"/>
    <w:rsid w:val="00985124"/>
    <w:rsid w:val="009864DC"/>
    <w:rsid w:val="009C5859"/>
    <w:rsid w:val="009D4F33"/>
    <w:rsid w:val="00A7133B"/>
    <w:rsid w:val="00AA7F1D"/>
    <w:rsid w:val="00AD6437"/>
    <w:rsid w:val="00AE171A"/>
    <w:rsid w:val="00B10232"/>
    <w:rsid w:val="00B42D65"/>
    <w:rsid w:val="00B86970"/>
    <w:rsid w:val="00B95916"/>
    <w:rsid w:val="00B97705"/>
    <w:rsid w:val="00C01847"/>
    <w:rsid w:val="00C263BB"/>
    <w:rsid w:val="00C3518F"/>
    <w:rsid w:val="00C3627E"/>
    <w:rsid w:val="00C44716"/>
    <w:rsid w:val="00C90524"/>
    <w:rsid w:val="00C91080"/>
    <w:rsid w:val="00C9361D"/>
    <w:rsid w:val="00CA552C"/>
    <w:rsid w:val="00CC6680"/>
    <w:rsid w:val="00CF798C"/>
    <w:rsid w:val="00D04790"/>
    <w:rsid w:val="00D065FA"/>
    <w:rsid w:val="00D45320"/>
    <w:rsid w:val="00D6785B"/>
    <w:rsid w:val="00D80C09"/>
    <w:rsid w:val="00DB2DBF"/>
    <w:rsid w:val="00DB2FEC"/>
    <w:rsid w:val="00DC0A52"/>
    <w:rsid w:val="00DD1C6B"/>
    <w:rsid w:val="00E135B7"/>
    <w:rsid w:val="00E36E3C"/>
    <w:rsid w:val="00E505FE"/>
    <w:rsid w:val="00E567A3"/>
    <w:rsid w:val="00E70A34"/>
    <w:rsid w:val="00E75251"/>
    <w:rsid w:val="00EB0779"/>
    <w:rsid w:val="00EC072D"/>
    <w:rsid w:val="00ED4D26"/>
    <w:rsid w:val="00F4591D"/>
    <w:rsid w:val="00F520D0"/>
    <w:rsid w:val="00F604F2"/>
    <w:rsid w:val="00FE0C92"/>
    <w:rsid w:val="00FF0B9A"/>
    <w:rsid w:val="0FD20BAF"/>
    <w:rsid w:val="607877C3"/>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A8C"/>
    <w:pPr>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A8C"/>
    <w:pPr>
      <w:tabs>
        <w:tab w:val="center" w:pos="4677"/>
        <w:tab w:val="right" w:pos="9355"/>
      </w:tabs>
    </w:pPr>
  </w:style>
  <w:style w:type="paragraph" w:styleId="a5">
    <w:name w:val="footer"/>
    <w:basedOn w:val="a"/>
    <w:link w:val="a6"/>
    <w:uiPriority w:val="99"/>
    <w:semiHidden/>
    <w:unhideWhenUsed/>
    <w:rsid w:val="001D7A8C"/>
    <w:pPr>
      <w:tabs>
        <w:tab w:val="center" w:pos="4677"/>
        <w:tab w:val="right" w:pos="9355"/>
      </w:tabs>
    </w:pPr>
  </w:style>
  <w:style w:type="paragraph" w:customStyle="1" w:styleId="ConsPlusNormal">
    <w:name w:val="ConsPlusNormal"/>
    <w:qFormat/>
    <w:rsid w:val="001D7A8C"/>
    <w:pPr>
      <w:widowControl w:val="0"/>
      <w:autoSpaceDE w:val="0"/>
      <w:autoSpaceDN w:val="0"/>
      <w:adjustRightInd w:val="0"/>
      <w:ind w:firstLine="720"/>
    </w:pPr>
    <w:rPr>
      <w:rFonts w:ascii="Arial" w:eastAsia="Times New Roman" w:hAnsi="Arial" w:cs="Arial"/>
    </w:rPr>
  </w:style>
  <w:style w:type="paragraph" w:styleId="a7">
    <w:name w:val="List Paragraph"/>
    <w:basedOn w:val="a"/>
    <w:uiPriority w:val="34"/>
    <w:qFormat/>
    <w:rsid w:val="001D7A8C"/>
    <w:pPr>
      <w:ind w:left="720"/>
      <w:contextualSpacing/>
    </w:pPr>
    <w:rPr>
      <w:rFonts w:ascii="Times New Roman" w:eastAsia="Times New Roman" w:hAnsi="Times New Roman" w:cs="Times New Roman"/>
      <w:szCs w:val="24"/>
      <w:lang w:eastAsia="ru-RU"/>
    </w:rPr>
  </w:style>
  <w:style w:type="character" w:customStyle="1" w:styleId="a4">
    <w:name w:val="Верхний колонтитул Знак"/>
    <w:basedOn w:val="a0"/>
    <w:link w:val="a3"/>
    <w:uiPriority w:val="99"/>
    <w:qFormat/>
    <w:rsid w:val="001D7A8C"/>
    <w:rPr>
      <w:sz w:val="28"/>
    </w:rPr>
  </w:style>
  <w:style w:type="character" w:customStyle="1" w:styleId="a6">
    <w:name w:val="Нижний колонтитул Знак"/>
    <w:basedOn w:val="a0"/>
    <w:link w:val="a5"/>
    <w:uiPriority w:val="99"/>
    <w:semiHidden/>
    <w:qFormat/>
    <w:rsid w:val="001D7A8C"/>
    <w:rPr>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0338D-BA9E-41C1-A792-AB0E7691A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1336</Words>
  <Characters>7619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ГФУ</Company>
  <LinksUpToDate>false</LinksUpToDate>
  <CharactersWithSpaces>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Анна Николаевна</dc:creator>
  <cp:lastModifiedBy>user10</cp:lastModifiedBy>
  <cp:revision>12</cp:revision>
  <cp:lastPrinted>2023-04-17T05:17:00Z</cp:lastPrinted>
  <dcterms:created xsi:type="dcterms:W3CDTF">2022-04-18T08:14:00Z</dcterms:created>
  <dcterms:modified xsi:type="dcterms:W3CDTF">2023-04-17T05:23:00Z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A3781D88C7214B7E846CF21BFE69C695</vt:lpwstr>
  </property>
</Properties>
</file>